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14B8" w14:textId="5494F6AF" w:rsidR="000D5BAA" w:rsidRPr="00072E2F" w:rsidRDefault="000D5BAA" w:rsidP="00072E2F">
      <w:pPr>
        <w:pStyle w:val="Overskrift1"/>
        <w:jc w:val="both"/>
        <w:rPr>
          <w:rFonts w:ascii="Times New Roman" w:eastAsia="Times New Roman" w:hAnsi="Times New Roman" w:cs="Times New Roman"/>
          <w:color w:val="auto"/>
          <w:lang w:eastAsia="nb-NO"/>
        </w:rPr>
      </w:pPr>
      <w:bookmarkStart w:id="0" w:name="_Hlk164077360"/>
      <w:r w:rsidRPr="00072E2F">
        <w:rPr>
          <w:rFonts w:ascii="Times New Roman" w:eastAsia="Times New Roman" w:hAnsi="Times New Roman" w:cs="Times New Roman"/>
          <w:color w:val="auto"/>
          <w:lang w:eastAsia="nb-NO"/>
        </w:rPr>
        <w:t>Retningslinje for implementering av bærekraftsrisiko</w:t>
      </w:r>
    </w:p>
    <w:p w14:paraId="3B0EEC90" w14:textId="77777777" w:rsidR="000D5BAA" w:rsidRPr="00072E2F" w:rsidRDefault="000D5BAA" w:rsidP="00072E2F">
      <w:pPr>
        <w:jc w:val="both"/>
        <w:rPr>
          <w:rFonts w:ascii="Times New Roman" w:hAnsi="Times New Roman" w:cs="Times New Roman"/>
          <w:lang w:eastAsia="nb-NO"/>
        </w:rPr>
      </w:pPr>
    </w:p>
    <w:p w14:paraId="697F6B23" w14:textId="4E6376DF" w:rsidR="00282C3C" w:rsidRPr="00072E2F" w:rsidRDefault="00282C3C" w:rsidP="00072E2F">
      <w:pPr>
        <w:jc w:val="both"/>
        <w:rPr>
          <w:rFonts w:ascii="Times New Roman" w:hAnsi="Times New Roman" w:cs="Times New Roman"/>
          <w:lang w:eastAsia="nb-NO"/>
        </w:rPr>
      </w:pPr>
      <w:r w:rsidRPr="00072E2F">
        <w:rPr>
          <w:rFonts w:ascii="Times New Roman" w:hAnsi="Times New Roman" w:cs="Times New Roman"/>
          <w:lang w:eastAsia="nb-NO"/>
        </w:rPr>
        <w:t>AlphaSpar, juni 2023</w:t>
      </w:r>
    </w:p>
    <w:p w14:paraId="760B1D7C" w14:textId="77777777" w:rsidR="00282C3C" w:rsidRPr="00072E2F" w:rsidRDefault="00282C3C" w:rsidP="00072E2F">
      <w:pPr>
        <w:jc w:val="both"/>
        <w:rPr>
          <w:rFonts w:ascii="Times New Roman" w:hAnsi="Times New Roman" w:cs="Times New Roman"/>
          <w:lang w:eastAsia="nb-NO"/>
        </w:rPr>
      </w:pPr>
    </w:p>
    <w:p w14:paraId="0E82A107" w14:textId="77777777" w:rsidR="000D5BAA" w:rsidRPr="00072E2F" w:rsidRDefault="000D5BAA" w:rsidP="00072E2F">
      <w:pPr>
        <w:pStyle w:val="Overskrift2"/>
        <w:jc w:val="both"/>
        <w:rPr>
          <w:rFonts w:ascii="Times New Roman" w:eastAsia="Times New Roman" w:hAnsi="Times New Roman" w:cs="Times New Roman"/>
          <w:color w:val="auto"/>
          <w:lang w:eastAsia="nb-NO"/>
        </w:rPr>
      </w:pPr>
      <w:r w:rsidRPr="00072E2F">
        <w:rPr>
          <w:rFonts w:ascii="Times New Roman" w:eastAsia="Times New Roman" w:hAnsi="Times New Roman" w:cs="Times New Roman"/>
          <w:color w:val="auto"/>
          <w:lang w:eastAsia="nb-NO"/>
        </w:rPr>
        <w:t>Formål</w:t>
      </w:r>
    </w:p>
    <w:p w14:paraId="44683646" w14:textId="3124BEDC" w:rsidR="000D5BAA" w:rsidRPr="00072E2F" w:rsidRDefault="000D5BAA" w:rsidP="00072E2F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Formålet med denne retningslinjen er å integrere bærekraftsrisiko i investeringsbeslutninger for våre modellporteføljer. Retningslinjen </w:t>
      </w:r>
      <w:r w:rsidR="00282C3C"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skal 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sikre at bærekraftsrisiko blir vurdert og håndtert på en systematisk måte uten å sette opp et mål om å fremme miljømessige eller sosiale egenskaper eller å ha bærekraftige investeringer som hovedmål.</w:t>
      </w:r>
      <w:r w:rsidR="004F0700"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</w:p>
    <w:bookmarkEnd w:id="0"/>
    <w:p w14:paraId="59F91728" w14:textId="77777777" w:rsidR="000D5BAA" w:rsidRPr="00072E2F" w:rsidRDefault="000D5BAA" w:rsidP="00072E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CF70620" w14:textId="04194F05" w:rsidR="000D5BAA" w:rsidRPr="00072E2F" w:rsidRDefault="000D5BAA" w:rsidP="00072E2F">
      <w:pPr>
        <w:pStyle w:val="Overskrift2"/>
        <w:jc w:val="both"/>
        <w:rPr>
          <w:rFonts w:ascii="Times New Roman" w:eastAsia="Times New Roman" w:hAnsi="Times New Roman" w:cs="Times New Roman"/>
          <w:color w:val="auto"/>
          <w:lang w:eastAsia="nb-NO"/>
        </w:rPr>
      </w:pPr>
      <w:r w:rsidRPr="00072E2F">
        <w:rPr>
          <w:rFonts w:ascii="Times New Roman" w:eastAsia="Times New Roman" w:hAnsi="Times New Roman" w:cs="Times New Roman"/>
          <w:color w:val="auto"/>
          <w:lang w:eastAsia="nb-NO"/>
        </w:rPr>
        <w:t>Definisjoner</w:t>
      </w:r>
    </w:p>
    <w:p w14:paraId="5BB2ECA3" w14:textId="40EB9F01" w:rsidR="000D5BAA" w:rsidRPr="00072E2F" w:rsidRDefault="000D5BAA" w:rsidP="00072E2F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nb-NO"/>
          <w14:ligatures w14:val="none"/>
        </w:rPr>
        <w:t>Bærekraftsrisiko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nb-NO"/>
          <w14:ligatures w14:val="none"/>
        </w:rPr>
        <w:t>: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Potensielle risikoer og muligheter som kan oppstå som følge av miljømessige, sosiale eller </w:t>
      </w:r>
      <w:proofErr w:type="spellStart"/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styringsmessige</w:t>
      </w:r>
      <w:proofErr w:type="spellEnd"/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faktorer kan påvirke avkastning</w:t>
      </w:r>
      <w:r w:rsidR="002A6EAC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en i underliggende produkter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. Herunder, men ikke begrenset til:</w:t>
      </w:r>
    </w:p>
    <w:p w14:paraId="472C8B77" w14:textId="653A43AA" w:rsidR="000D5BAA" w:rsidRDefault="000D5BAA" w:rsidP="00072E2F">
      <w:pPr>
        <w:pStyle w:val="Listeavsnitt"/>
        <w:numPr>
          <w:ilvl w:val="0"/>
          <w:numId w:val="6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Klima- og miljørisiko (E)</w:t>
      </w:r>
    </w:p>
    <w:p w14:paraId="20D985EF" w14:textId="77777777" w:rsidR="006F4BC3" w:rsidRDefault="006F4BC3" w:rsidP="006F4BC3">
      <w:pPr>
        <w:pStyle w:val="Listeavsnitt"/>
        <w:spacing w:before="300" w:after="300" w:line="240" w:lineRule="auto"/>
        <w:ind w:left="141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50FC4696" w14:textId="2338482E" w:rsidR="006F4BC3" w:rsidRPr="006F4BC3" w:rsidRDefault="006F4BC3" w:rsidP="006F4BC3">
      <w:pPr>
        <w:pStyle w:val="Listeavsnitt"/>
        <w:spacing w:before="300" w:after="30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Selskapenes evne til å redusere og tilpasse seg klimaendringer</w:t>
      </w:r>
    </w:p>
    <w:p w14:paraId="251ED200" w14:textId="77777777" w:rsidR="0044320B" w:rsidRDefault="0044320B" w:rsidP="0044320B">
      <w:pPr>
        <w:pStyle w:val="Listeavsnitt"/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331CC2D3" w14:textId="11CDF438" w:rsidR="000D5BAA" w:rsidRDefault="000D5BAA" w:rsidP="00072E2F">
      <w:pPr>
        <w:pStyle w:val="Listeavsnitt"/>
        <w:numPr>
          <w:ilvl w:val="0"/>
          <w:numId w:val="6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Sosial risiko (S)</w:t>
      </w:r>
    </w:p>
    <w:p w14:paraId="48F4E243" w14:textId="1E343003" w:rsidR="0044320B" w:rsidRPr="0044320B" w:rsidRDefault="0044320B" w:rsidP="0044320B">
      <w:pPr>
        <w:spacing w:before="300" w:after="30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Menneskerettigheter, rettigheter i krig og konflikt, arbeidstakerrettigheter i egen virksomhet</w:t>
      </w:r>
      <w:r w:rsidR="00654E8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og i leverandørkjeden, produktsikkerhet og data og personvern</w:t>
      </w:r>
    </w:p>
    <w:p w14:paraId="1F5057CD" w14:textId="0FAD04B2" w:rsidR="000D5BAA" w:rsidRDefault="000D5BAA" w:rsidP="00072E2F">
      <w:pPr>
        <w:pStyle w:val="Listeavsnitt"/>
        <w:numPr>
          <w:ilvl w:val="0"/>
          <w:numId w:val="6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Risiko knyttet til selskapsstyring (G)</w:t>
      </w:r>
    </w:p>
    <w:p w14:paraId="64895F58" w14:textId="7E03DF4D" w:rsidR="000D5BAA" w:rsidRPr="00454F64" w:rsidRDefault="00654E84" w:rsidP="00454F64">
      <w:pPr>
        <w:spacing w:before="300" w:after="30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Styresammensetning og effektivitet, ledelsesinsentiver, ledelseskvalitet og interesse</w:t>
      </w:r>
      <w:r w:rsidR="00454F6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konflikter</w:t>
      </w:r>
    </w:p>
    <w:p w14:paraId="493C8913" w14:textId="6C074DB9" w:rsidR="0064458A" w:rsidRPr="00016988" w:rsidRDefault="0064458A" w:rsidP="00072E2F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nb-NO"/>
          <w14:ligatures w14:val="none"/>
        </w:rPr>
      </w:pPr>
      <w:r w:rsidRPr="00016988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eastAsia="nb-NO"/>
          <w14:ligatures w14:val="none"/>
        </w:rPr>
        <w:t>Kommentar</w:t>
      </w:r>
    </w:p>
    <w:p w14:paraId="3E044686" w14:textId="499706B1" w:rsidR="00072E2F" w:rsidRPr="008B6A81" w:rsidRDefault="00072E2F" w:rsidP="00072E2F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6A81">
        <w:rPr>
          <w:rFonts w:ascii="Times New Roman" w:hAnsi="Times New Roman" w:cs="Times New Roman"/>
          <w:i/>
          <w:iCs/>
          <w:sz w:val="24"/>
          <w:szCs w:val="24"/>
        </w:rPr>
        <w:t xml:space="preserve">AlphaSpar engasjerer </w:t>
      </w:r>
      <w:r w:rsidR="00C92CDB">
        <w:rPr>
          <w:rFonts w:ascii="Times New Roman" w:hAnsi="Times New Roman" w:cs="Times New Roman"/>
          <w:i/>
          <w:iCs/>
          <w:sz w:val="24"/>
          <w:szCs w:val="24"/>
        </w:rPr>
        <w:t>seg</w:t>
      </w:r>
      <w:r w:rsidRPr="008B6A81">
        <w:rPr>
          <w:rFonts w:ascii="Times New Roman" w:hAnsi="Times New Roman" w:cs="Times New Roman"/>
          <w:i/>
          <w:iCs/>
          <w:sz w:val="24"/>
          <w:szCs w:val="24"/>
        </w:rPr>
        <w:t xml:space="preserve"> i de miljømessige utfordringene verden står overfor. Selskapet kan påvirke, både gjennom hvordan vi forvalter kapitalen til våre kunder, og i den daglige driften. </w:t>
      </w:r>
    </w:p>
    <w:p w14:paraId="4967B409" w14:textId="09EE5EF3" w:rsidR="00072E2F" w:rsidRPr="008B6A81" w:rsidRDefault="00072E2F" w:rsidP="003512FE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6A81">
        <w:rPr>
          <w:rFonts w:ascii="Times New Roman" w:hAnsi="Times New Roman" w:cs="Times New Roman"/>
          <w:i/>
          <w:iCs/>
          <w:sz w:val="24"/>
          <w:szCs w:val="24"/>
        </w:rPr>
        <w:t xml:space="preserve">Alle investeringer påvirker miljøet i større eller mindre grad, både i positiv eller negativ retning. Det gjelder uavhengig om man investerer direkte i enkeltselskaper, aktivt forvaltede fond eller i indeksfond. For at verdien av våre investeringer skal øke over tid og risikoen skal være akseptabel, må den underliggende økonomiske aktiviteten være ansvarlig og bærekraftig. Vi </w:t>
      </w:r>
      <w:r w:rsidR="003512FE" w:rsidRPr="008B6A81">
        <w:rPr>
          <w:rFonts w:ascii="Times New Roman" w:hAnsi="Times New Roman" w:cs="Times New Roman"/>
          <w:i/>
          <w:iCs/>
          <w:sz w:val="24"/>
          <w:szCs w:val="24"/>
        </w:rPr>
        <w:t xml:space="preserve">skal </w:t>
      </w:r>
      <w:r w:rsidRPr="008B6A81">
        <w:rPr>
          <w:rFonts w:ascii="Times New Roman" w:hAnsi="Times New Roman" w:cs="Times New Roman"/>
          <w:i/>
          <w:iCs/>
          <w:sz w:val="24"/>
          <w:szCs w:val="24"/>
        </w:rPr>
        <w:t>integrer</w:t>
      </w:r>
      <w:r w:rsidR="006F4BC3">
        <w:rPr>
          <w:rFonts w:ascii="Times New Roman" w:hAnsi="Times New Roman" w:cs="Times New Roman"/>
          <w:i/>
          <w:iCs/>
          <w:sz w:val="24"/>
          <w:szCs w:val="24"/>
        </w:rPr>
        <w:t>e og ta hensyn til</w:t>
      </w:r>
      <w:r w:rsidRPr="008B6A81">
        <w:rPr>
          <w:rFonts w:ascii="Times New Roman" w:hAnsi="Times New Roman" w:cs="Times New Roman"/>
          <w:i/>
          <w:iCs/>
          <w:sz w:val="24"/>
          <w:szCs w:val="24"/>
        </w:rPr>
        <w:t xml:space="preserve"> bærekraftsrisiko i alle våre</w:t>
      </w:r>
      <w:r w:rsidR="00AC69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B6A81">
        <w:rPr>
          <w:rFonts w:ascii="Times New Roman" w:hAnsi="Times New Roman" w:cs="Times New Roman"/>
          <w:i/>
          <w:iCs/>
          <w:sz w:val="24"/>
          <w:szCs w:val="24"/>
        </w:rPr>
        <w:t>modellporteføljer.</w:t>
      </w:r>
    </w:p>
    <w:p w14:paraId="0BEA7E84" w14:textId="77777777" w:rsidR="00072E2F" w:rsidRPr="00072E2F" w:rsidRDefault="00072E2F" w:rsidP="00072E2F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7A2D2285" w14:textId="77777777" w:rsidR="000D5BAA" w:rsidRPr="00072E2F" w:rsidRDefault="000D5BAA" w:rsidP="00072E2F">
      <w:pPr>
        <w:pStyle w:val="Overskrift2"/>
        <w:jc w:val="both"/>
        <w:rPr>
          <w:rFonts w:ascii="Times New Roman" w:eastAsia="Times New Roman" w:hAnsi="Times New Roman" w:cs="Times New Roman"/>
          <w:color w:val="auto"/>
          <w:lang w:eastAsia="nb-NO"/>
        </w:rPr>
      </w:pPr>
      <w:r w:rsidRPr="00072E2F">
        <w:rPr>
          <w:rFonts w:ascii="Times New Roman" w:eastAsia="Times New Roman" w:hAnsi="Times New Roman" w:cs="Times New Roman"/>
          <w:color w:val="auto"/>
          <w:lang w:eastAsia="nb-NO"/>
        </w:rPr>
        <w:t>Implementering av bærekraftsrisiko</w:t>
      </w:r>
    </w:p>
    <w:p w14:paraId="30924B71" w14:textId="5438345E" w:rsidR="000D5BAA" w:rsidRPr="00072E2F" w:rsidRDefault="000D5BAA" w:rsidP="00072E2F">
      <w:pPr>
        <w:pStyle w:val="Listeavsnitt"/>
        <w:numPr>
          <w:ilvl w:val="0"/>
          <w:numId w:val="8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Identifisering av relevante faktorer: </w:t>
      </w:r>
      <w:r w:rsidR="00A91EA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AlphaSpar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skal identifisere relevante </w:t>
      </w:r>
      <w:proofErr w:type="spellStart"/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bærekraftsfaktorer</w:t>
      </w:r>
      <w:proofErr w:type="spellEnd"/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som kan påvirke </w:t>
      </w:r>
      <w:r w:rsidR="00DB15A1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våre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investeringer. Dette kan omfatte faktorer som klimarisiko, miljøpåvirkning, sosiale forhold og </w:t>
      </w:r>
      <w:proofErr w:type="spellStart"/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styringsmessige</w:t>
      </w:r>
      <w:proofErr w:type="spellEnd"/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praksiser.</w:t>
      </w:r>
    </w:p>
    <w:p w14:paraId="6E27E8AC" w14:textId="77777777" w:rsidR="00151958" w:rsidRPr="00072E2F" w:rsidRDefault="00151958" w:rsidP="00072E2F">
      <w:pPr>
        <w:pStyle w:val="Listeavsnitt"/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77BB419C" w14:textId="4DA86094" w:rsidR="008926A8" w:rsidRPr="00072E2F" w:rsidRDefault="008926A8" w:rsidP="00072E2F">
      <w:pPr>
        <w:pStyle w:val="Listeavsnitt"/>
        <w:numPr>
          <w:ilvl w:val="0"/>
          <w:numId w:val="8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Analyse og vurdering av bærekraftsrisiko: </w:t>
      </w:r>
      <w:r w:rsidR="00A91EA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AlphaSpar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skal analysere og vurdere bærekraftsrisiko knyttet til </w:t>
      </w:r>
      <w:r w:rsidR="00A91EA9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våre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investeringer. Dette kan inkludere å vurdere potensielle økonomiske konsekvenser av bærekraftsrisiko, som for eksempel regulatoriske endringer, omdømmeskader eller endrede markedsforhold.</w:t>
      </w:r>
    </w:p>
    <w:p w14:paraId="2833A994" w14:textId="77777777" w:rsidR="00151958" w:rsidRPr="00072E2F" w:rsidRDefault="00151958" w:rsidP="00072E2F">
      <w:pPr>
        <w:pStyle w:val="Listeavsnit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45389EDF" w14:textId="77777777" w:rsidR="00151958" w:rsidRPr="00072E2F" w:rsidRDefault="00151958" w:rsidP="00072E2F">
      <w:pPr>
        <w:pStyle w:val="Listeavsnitt"/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CDB5578" w14:textId="503CC4A3" w:rsidR="003D7036" w:rsidRPr="003D7036" w:rsidRDefault="008926A8" w:rsidP="003D7036">
      <w:pPr>
        <w:pStyle w:val="Listeavsnitt"/>
        <w:numPr>
          <w:ilvl w:val="0"/>
          <w:numId w:val="8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Integrering av bærekraftsrisiko i investeringsbeslutninger: </w:t>
      </w:r>
      <w:r w:rsidR="000B625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AlphaSpar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skal ta hensyn til bærekraftsrisiko i beslutningsprosessen knyttet til fondets investeringer. Dette kan innebære å vurdere bærekraftsrisiko sammen med andre finansielle og ikke-finansielle faktorer for å ta informerte beslutninger.</w:t>
      </w:r>
    </w:p>
    <w:p w14:paraId="76284BCC" w14:textId="77777777" w:rsidR="00151958" w:rsidRPr="00072E2F" w:rsidRDefault="00151958" w:rsidP="00072E2F">
      <w:pPr>
        <w:pStyle w:val="Listeavsnitt"/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BBC719F" w14:textId="1095BAF7" w:rsidR="000D5BAA" w:rsidRDefault="008926A8" w:rsidP="008B6A81">
      <w:pPr>
        <w:pStyle w:val="Listeavsnitt"/>
        <w:numPr>
          <w:ilvl w:val="0"/>
          <w:numId w:val="8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Rapportering og kommunikasjon: </w:t>
      </w:r>
      <w:r w:rsidR="000B625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AlphaSpar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skal </w:t>
      </w:r>
      <w:r w:rsidR="000B6256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overvåke eksterne fond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="0034721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ift</w:t>
      </w:r>
      <w:proofErr w:type="spellEnd"/>
      <w:r w:rsidR="0034721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bærekraftsrisiko og tiltak som er gjort for å håndtere slik risiko. </w:t>
      </w:r>
      <w:r w:rsidR="0034721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Ved behov kan dette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omfatte å inkludere relevant informasjo</w:t>
      </w:r>
      <w:r w:rsidR="008B6A81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n i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rapporter til investorer eller annen relevant kommunikasjon.</w:t>
      </w:r>
    </w:p>
    <w:p w14:paraId="070507A5" w14:textId="77777777" w:rsidR="008B6A81" w:rsidRPr="008B6A81" w:rsidRDefault="008B6A81" w:rsidP="008B6A81">
      <w:pPr>
        <w:pStyle w:val="Listeavsnitt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08CBA1A6" w14:textId="77777777" w:rsidR="008B6A81" w:rsidRPr="008B6A81" w:rsidRDefault="008B6A81" w:rsidP="008B6A81">
      <w:pPr>
        <w:pStyle w:val="Listeavsnitt"/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772E35E4" w14:textId="77777777" w:rsidR="000D5BAA" w:rsidRPr="00072E2F" w:rsidRDefault="000D5BAA" w:rsidP="00072E2F">
      <w:pPr>
        <w:pStyle w:val="Overskrift2"/>
        <w:jc w:val="both"/>
        <w:rPr>
          <w:rFonts w:ascii="Times New Roman" w:eastAsia="Times New Roman" w:hAnsi="Times New Roman" w:cs="Times New Roman"/>
          <w:color w:val="auto"/>
          <w:lang w:eastAsia="nb-NO"/>
        </w:rPr>
      </w:pPr>
      <w:r w:rsidRPr="00072E2F">
        <w:rPr>
          <w:rFonts w:ascii="Times New Roman" w:eastAsia="Times New Roman" w:hAnsi="Times New Roman" w:cs="Times New Roman"/>
          <w:color w:val="auto"/>
          <w:lang w:eastAsia="nb-NO"/>
        </w:rPr>
        <w:t>Kompetanse og ressurser</w:t>
      </w:r>
    </w:p>
    <w:p w14:paraId="42D657F3" w14:textId="5621DDD2" w:rsidR="000D5BAA" w:rsidRDefault="000D5BAA" w:rsidP="00072E2F">
      <w:pPr>
        <w:pStyle w:val="Listeavsnitt"/>
        <w:numPr>
          <w:ilvl w:val="0"/>
          <w:numId w:val="9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Kompetanse: </w:t>
      </w:r>
      <w:r w:rsidR="003512F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AlphaSpar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skal sikre at det har tilstrekkelig kompetanse og kunnskap om bærekraftsrisiko for å kunne gjennomføre en effektiv implementering. Dette kan innebære opplæring av ansatte eller innhenting av ekstern ekspertise ved behov</w:t>
      </w:r>
    </w:p>
    <w:p w14:paraId="3F7B67B9" w14:textId="0E739B7B" w:rsidR="00675035" w:rsidRPr="003D7036" w:rsidRDefault="003D7036" w:rsidP="00675035">
      <w:pPr>
        <w:spacing w:before="300" w:after="30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KAN Finans opplæring, seminarer/foredrag</w:t>
      </w:r>
    </w:p>
    <w:p w14:paraId="0D20032D" w14:textId="77777777" w:rsidR="00151958" w:rsidRPr="00072E2F" w:rsidRDefault="00151958" w:rsidP="00072E2F">
      <w:pPr>
        <w:pStyle w:val="Listeavsnitt"/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744F1DBB" w14:textId="0D7B99C3" w:rsidR="008926A8" w:rsidRPr="00072E2F" w:rsidRDefault="008926A8" w:rsidP="00072E2F">
      <w:pPr>
        <w:pStyle w:val="Listeavsnitt"/>
        <w:numPr>
          <w:ilvl w:val="0"/>
          <w:numId w:val="9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Ressurser: </w:t>
      </w:r>
      <w:r w:rsidR="003512F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AlphaSpar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skal sørge for at det er tilstrekkelige ressurser tilgjengelig for å implementere retningslinjene på en effektiv måte. Dette kan inkludere ressurser knyttet til dataverktøy</w:t>
      </w:r>
      <w:r w:rsidR="0034721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eller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analytiske verktøy </w:t>
      </w:r>
    </w:p>
    <w:p w14:paraId="6BC2D7A5" w14:textId="1909B2EA" w:rsidR="005C7B38" w:rsidRDefault="005C7B3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 w:type="page"/>
      </w:r>
    </w:p>
    <w:p w14:paraId="6E354C53" w14:textId="7D86FD36" w:rsidR="000D5BAA" w:rsidRPr="00072E2F" w:rsidRDefault="000D5BAA" w:rsidP="00072E2F">
      <w:pPr>
        <w:pStyle w:val="Overskrift2"/>
        <w:jc w:val="both"/>
        <w:rPr>
          <w:rFonts w:ascii="Times New Roman" w:eastAsia="Times New Roman" w:hAnsi="Times New Roman" w:cs="Times New Roman"/>
          <w:color w:val="auto"/>
          <w:lang w:eastAsia="nb-NO"/>
        </w:rPr>
      </w:pPr>
      <w:r w:rsidRPr="00072E2F">
        <w:rPr>
          <w:rFonts w:ascii="Times New Roman" w:eastAsia="Times New Roman" w:hAnsi="Times New Roman" w:cs="Times New Roman"/>
          <w:color w:val="auto"/>
          <w:lang w:eastAsia="nb-NO"/>
        </w:rPr>
        <w:lastRenderedPageBreak/>
        <w:t>Overvåking og revisjon</w:t>
      </w:r>
    </w:p>
    <w:p w14:paraId="0DBE0B4F" w14:textId="0973CFD0" w:rsidR="000D5BAA" w:rsidRDefault="000D5BAA" w:rsidP="00072E2F">
      <w:pPr>
        <w:pStyle w:val="Listeavsnitt"/>
        <w:numPr>
          <w:ilvl w:val="0"/>
          <w:numId w:val="10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Overvåking: </w:t>
      </w:r>
      <w:r w:rsidR="003512F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AlphaSpar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skal etablere en prosess for ko</w:t>
      </w:r>
      <w:r w:rsidR="0034721D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ntinuerlig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overvåking av bærekraftsrisiko. Dette kan inkludere å etablere indikatorer eller målekriterier for å vurdere risiko og resultater over tid.</w:t>
      </w:r>
    </w:p>
    <w:p w14:paraId="586EAB99" w14:textId="36FDED74" w:rsidR="0034721D" w:rsidRDefault="0034721D" w:rsidP="003512FE">
      <w:pPr>
        <w:spacing w:before="300" w:after="30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Kommentar</w:t>
      </w:r>
    </w:p>
    <w:p w14:paraId="0B973517" w14:textId="3AF80899" w:rsidR="003512FE" w:rsidRDefault="003512FE" w:rsidP="003512FE">
      <w:pPr>
        <w:spacing w:before="300" w:after="30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For enkeltselskaper skal årsrapporter benyttes for å vurdere selskapets ESG-Score</w:t>
      </w:r>
      <w:r w:rsidR="002903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, i tillegg data fra analytiske verktøy (per dato: </w:t>
      </w:r>
      <w:proofErr w:type="spellStart"/>
      <w:r w:rsidR="002903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Refinitiv</w:t>
      </w:r>
      <w:proofErr w:type="spellEnd"/>
      <w:r w:rsidR="002903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="002903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Datastream</w:t>
      </w:r>
      <w:proofErr w:type="spellEnd"/>
      <w:r w:rsidR="0029032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)</w:t>
      </w:r>
    </w:p>
    <w:p w14:paraId="6FB52E09" w14:textId="0B0B7786" w:rsidR="007800F5" w:rsidRPr="003512FE" w:rsidRDefault="007800F5" w:rsidP="003512FE">
      <w:pPr>
        <w:spacing w:before="300" w:after="30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For øvrige investeringer (fond</w:t>
      </w:r>
      <w:r w:rsidR="004716D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) skal fondets rapportering knyttet til ESG benyttes</w:t>
      </w:r>
      <w:r w:rsidR="009E343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i det intervallet de kommer, minimum årlig. </w:t>
      </w:r>
      <w:r w:rsidR="00495EF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Fondets klassifisering </w:t>
      </w:r>
      <w:proofErr w:type="spellStart"/>
      <w:r w:rsidR="0067503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ihht</w:t>
      </w:r>
      <w:proofErr w:type="spellEnd"/>
      <w:r w:rsidR="0067503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 SFDR skal benyttes, samt samtaler med fond.</w:t>
      </w:r>
    </w:p>
    <w:p w14:paraId="03F99A32" w14:textId="77777777" w:rsidR="00151958" w:rsidRPr="00072E2F" w:rsidRDefault="00151958" w:rsidP="00072E2F">
      <w:pPr>
        <w:pStyle w:val="Listeavsnitt"/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E02A52E" w14:textId="680A2DC4" w:rsidR="00046E55" w:rsidRDefault="008926A8" w:rsidP="00072E2F">
      <w:pPr>
        <w:pStyle w:val="Listeavsnitt"/>
        <w:numPr>
          <w:ilvl w:val="0"/>
          <w:numId w:val="10"/>
        </w:numPr>
        <w:spacing w:before="300"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Revisjon: </w:t>
      </w:r>
      <w:r w:rsidR="00290325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>AlphaSpar</w:t>
      </w:r>
      <w:r w:rsidRPr="00072E2F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skal gjennomføre periodiske revisjoner av retningslinjene for å sikre at de er relevante og oppdaterte i lys av endrede forhold eller beste praksis.</w:t>
      </w:r>
    </w:p>
    <w:p w14:paraId="06A6A3ED" w14:textId="03F4FA48" w:rsidR="00290325" w:rsidRPr="00290325" w:rsidRDefault="00290325" w:rsidP="00290325">
      <w:pPr>
        <w:spacing w:before="300" w:after="300" w:line="240" w:lineRule="auto"/>
        <w:ind w:left="141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 xml:space="preserve">Årlig gjennomgang av denne </w:t>
      </w:r>
      <w:r w:rsidR="007800F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nb-NO"/>
          <w14:ligatures w14:val="none"/>
        </w:rPr>
        <w:t>retningslinjen. Sist oppdatert juni 2023.</w:t>
      </w:r>
    </w:p>
    <w:p w14:paraId="5D94CE50" w14:textId="77777777" w:rsidR="00F23F1B" w:rsidRDefault="00F23F1B" w:rsidP="00072E2F">
      <w:pPr>
        <w:pStyle w:val="Overskrift1"/>
        <w:jc w:val="both"/>
        <w:rPr>
          <w:rFonts w:ascii="Times New Roman" w:hAnsi="Times New Roman" w:cs="Times New Roman"/>
          <w:color w:val="auto"/>
        </w:rPr>
      </w:pPr>
    </w:p>
    <w:p w14:paraId="57691DB0" w14:textId="0A8F9A92" w:rsidR="00046E55" w:rsidRPr="00072E2F" w:rsidRDefault="00046E55" w:rsidP="00072E2F">
      <w:pPr>
        <w:pStyle w:val="Overskrift1"/>
        <w:jc w:val="both"/>
        <w:rPr>
          <w:rFonts w:ascii="Times New Roman" w:hAnsi="Times New Roman" w:cs="Times New Roman"/>
          <w:color w:val="auto"/>
        </w:rPr>
      </w:pPr>
      <w:r w:rsidRPr="00072E2F">
        <w:rPr>
          <w:rFonts w:ascii="Times New Roman" w:hAnsi="Times New Roman" w:cs="Times New Roman"/>
          <w:color w:val="auto"/>
        </w:rPr>
        <w:t>Implementering</w:t>
      </w:r>
      <w:r w:rsidR="0034721D">
        <w:rPr>
          <w:rFonts w:ascii="Times New Roman" w:hAnsi="Times New Roman" w:cs="Times New Roman"/>
          <w:color w:val="auto"/>
        </w:rPr>
        <w:t xml:space="preserve"> i praksis</w:t>
      </w:r>
    </w:p>
    <w:p w14:paraId="56C49428" w14:textId="77777777" w:rsidR="00046E55" w:rsidRPr="00072E2F" w:rsidRDefault="00046E55" w:rsidP="00072E2F">
      <w:pPr>
        <w:jc w:val="both"/>
        <w:rPr>
          <w:rFonts w:ascii="Times New Roman" w:hAnsi="Times New Roman" w:cs="Times New Roman"/>
        </w:rPr>
      </w:pPr>
    </w:p>
    <w:p w14:paraId="16D450C6" w14:textId="77777777" w:rsidR="00046E55" w:rsidRPr="00072E2F" w:rsidRDefault="00046E55" w:rsidP="00072E2F">
      <w:pPr>
        <w:pStyle w:val="NormalWeb"/>
        <w:numPr>
          <w:ilvl w:val="0"/>
          <w:numId w:val="7"/>
        </w:numPr>
        <w:spacing w:before="0" w:beforeAutospacing="0" w:after="300" w:afterAutospacing="0"/>
        <w:jc w:val="both"/>
      </w:pPr>
      <w:r w:rsidRPr="00072E2F">
        <w:t xml:space="preserve">Identifisering av relevante </w:t>
      </w:r>
      <w:proofErr w:type="spellStart"/>
      <w:r w:rsidRPr="00072E2F">
        <w:t>bærekraftsfaktorer</w:t>
      </w:r>
      <w:proofErr w:type="spellEnd"/>
      <w:r w:rsidRPr="00072E2F">
        <w:t xml:space="preserve">: </w:t>
      </w:r>
    </w:p>
    <w:p w14:paraId="065F0C83" w14:textId="2FB5AEE2" w:rsidR="00046E55" w:rsidRDefault="00046E55" w:rsidP="0082290C">
      <w:pPr>
        <w:pStyle w:val="NormalWeb"/>
        <w:spacing w:before="0" w:beforeAutospacing="0" w:after="300" w:afterAutospacing="0"/>
        <w:jc w:val="both"/>
      </w:pPr>
      <w:r w:rsidRPr="00072E2F">
        <w:t>Gjennomgå nøkke</w:t>
      </w:r>
      <w:r w:rsidR="008B6A81">
        <w:t>l</w:t>
      </w:r>
      <w:r w:rsidRPr="00072E2F">
        <w:t>temaer</w:t>
      </w:r>
      <w:r w:rsidR="008B6A81">
        <w:t xml:space="preserve"> knyttet til bærekraft</w:t>
      </w:r>
      <w:r w:rsidRPr="00072E2F">
        <w:t xml:space="preserve"> og identifisere hvilke faktorer som er mest relevante for porteføljen. Dette kan omfatte klimarisiko, miljøpåvirkning, sosiale forhold og </w:t>
      </w:r>
      <w:proofErr w:type="spellStart"/>
      <w:r w:rsidRPr="00072E2F">
        <w:t>styringsmessige</w:t>
      </w:r>
      <w:proofErr w:type="spellEnd"/>
      <w:r w:rsidRPr="00072E2F">
        <w:t xml:space="preserve"> praksiser.</w:t>
      </w:r>
    </w:p>
    <w:p w14:paraId="033D9B78" w14:textId="37424781" w:rsidR="0082290C" w:rsidRPr="0082290C" w:rsidRDefault="0082290C" w:rsidP="0082290C">
      <w:pPr>
        <w:pStyle w:val="NormalWeb"/>
        <w:spacing w:before="0" w:beforeAutospacing="0" w:after="300" w:afterAutospacing="0"/>
        <w:jc w:val="both"/>
        <w:rPr>
          <w:i/>
          <w:iCs/>
        </w:rPr>
      </w:pPr>
      <w:r>
        <w:rPr>
          <w:i/>
          <w:iCs/>
        </w:rPr>
        <w:t xml:space="preserve">AlphaSpar skal i utgangspunktet vurdere selskap og fond på overordnet nivå </w:t>
      </w:r>
      <w:proofErr w:type="spellStart"/>
      <w:r>
        <w:rPr>
          <w:i/>
          <w:iCs/>
        </w:rPr>
        <w:t>ift</w:t>
      </w:r>
      <w:proofErr w:type="spellEnd"/>
      <w:r>
        <w:rPr>
          <w:i/>
          <w:iCs/>
        </w:rPr>
        <w:t xml:space="preserve"> ESG</w:t>
      </w:r>
      <w:r w:rsidR="00997CF1">
        <w:rPr>
          <w:i/>
          <w:iCs/>
        </w:rPr>
        <w:t xml:space="preserve">. Alle elementene (E, S og G) skal vurderes, særlig S og G. </w:t>
      </w:r>
    </w:p>
    <w:p w14:paraId="2AB64C3A" w14:textId="77777777" w:rsidR="00046E55" w:rsidRPr="00072E2F" w:rsidRDefault="00046E55" w:rsidP="00072E2F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72E2F">
        <w:t xml:space="preserve">Analyse og vurdering av bærekraftsrisiko: </w:t>
      </w:r>
    </w:p>
    <w:p w14:paraId="77692E10" w14:textId="77777777" w:rsidR="00046E55" w:rsidRPr="00072E2F" w:rsidRDefault="00046E55" w:rsidP="00072E2F">
      <w:pPr>
        <w:pStyle w:val="NormalWeb"/>
        <w:spacing w:before="0" w:beforeAutospacing="0" w:after="0" w:afterAutospacing="0"/>
        <w:ind w:left="720"/>
        <w:jc w:val="both"/>
      </w:pPr>
    </w:p>
    <w:p w14:paraId="53A30553" w14:textId="77777777" w:rsidR="00F25688" w:rsidRDefault="00046E55" w:rsidP="00072E2F">
      <w:pPr>
        <w:pStyle w:val="NormalWeb"/>
        <w:spacing w:before="0" w:beforeAutospacing="0" w:after="0" w:afterAutospacing="0"/>
        <w:ind w:left="720"/>
        <w:jc w:val="both"/>
      </w:pPr>
      <w:r w:rsidRPr="00072E2F">
        <w:t xml:space="preserve">a. Utfør analyser av bærekraftsrisiko knyttet til hver </w:t>
      </w:r>
      <w:proofErr w:type="spellStart"/>
      <w:r w:rsidRPr="00072E2F">
        <w:t>aktivaklasse</w:t>
      </w:r>
      <w:proofErr w:type="spellEnd"/>
      <w:r w:rsidRPr="00072E2F">
        <w:t xml:space="preserve"> i porteføljen (aksjefond, rentefond og enkeltaksjer).</w:t>
      </w:r>
    </w:p>
    <w:p w14:paraId="4ECBD6C5" w14:textId="77777777" w:rsidR="00F25688" w:rsidRDefault="00F25688" w:rsidP="00072E2F">
      <w:pPr>
        <w:pStyle w:val="NormalWeb"/>
        <w:spacing w:before="0" w:beforeAutospacing="0" w:after="0" w:afterAutospacing="0"/>
        <w:ind w:left="720"/>
        <w:jc w:val="both"/>
      </w:pPr>
    </w:p>
    <w:p w14:paraId="04AE9C42" w14:textId="1D64886A" w:rsidR="00997CF1" w:rsidRDefault="004A0743" w:rsidP="004A0743">
      <w:pPr>
        <w:pStyle w:val="NormalWeb"/>
        <w:spacing w:before="0" w:beforeAutospacing="0" w:after="0" w:afterAutospacing="0"/>
        <w:ind w:left="1416" w:firstLine="4"/>
        <w:jc w:val="both"/>
      </w:pPr>
      <w:r>
        <w:rPr>
          <w:i/>
          <w:iCs/>
        </w:rPr>
        <w:t xml:space="preserve">Dette vurderes på overordnet nivå og på generell basis. Det er mange ulike rentefond, aksjefond og enkeltaksjer. I utgangspunktet mener AlphaSpar at alle </w:t>
      </w:r>
      <w:proofErr w:type="spellStart"/>
      <w:r>
        <w:rPr>
          <w:i/>
          <w:iCs/>
        </w:rPr>
        <w:t>aktivaklasser</w:t>
      </w:r>
      <w:proofErr w:type="spellEnd"/>
      <w:r>
        <w:rPr>
          <w:i/>
          <w:iCs/>
        </w:rPr>
        <w:t xml:space="preserve"> er </w:t>
      </w:r>
      <w:proofErr w:type="spellStart"/>
      <w:r>
        <w:rPr>
          <w:i/>
          <w:iCs/>
        </w:rPr>
        <w:t>investerbar</w:t>
      </w:r>
      <w:proofErr w:type="spellEnd"/>
      <w:r>
        <w:rPr>
          <w:i/>
          <w:iCs/>
        </w:rPr>
        <w:t xml:space="preserve"> også i et ESG perspektiv.</w:t>
      </w:r>
      <w:r w:rsidR="00046E55" w:rsidRPr="00072E2F">
        <w:t xml:space="preserve"> </w:t>
      </w:r>
    </w:p>
    <w:p w14:paraId="49576FEA" w14:textId="77777777" w:rsidR="00997CF1" w:rsidRDefault="00997CF1" w:rsidP="00072E2F">
      <w:pPr>
        <w:pStyle w:val="NormalWeb"/>
        <w:spacing w:before="0" w:beforeAutospacing="0" w:after="0" w:afterAutospacing="0"/>
        <w:ind w:left="720"/>
        <w:jc w:val="both"/>
      </w:pPr>
    </w:p>
    <w:p w14:paraId="076FBDA8" w14:textId="39AD530A" w:rsidR="00046E55" w:rsidRDefault="00046E55" w:rsidP="00072E2F">
      <w:pPr>
        <w:pStyle w:val="NormalWeb"/>
        <w:spacing w:before="0" w:beforeAutospacing="0" w:after="0" w:afterAutospacing="0"/>
        <w:ind w:left="720"/>
        <w:jc w:val="both"/>
      </w:pPr>
      <w:r w:rsidRPr="00072E2F">
        <w:t>b. Vurder potensielle økonomiske konsekvenser av bærekraftsrisiko, som for eksempel regulatoriske endringer, omdømmeskader eller endrede markedsforhold.</w:t>
      </w:r>
    </w:p>
    <w:p w14:paraId="77F8137B" w14:textId="77777777" w:rsidR="004A0743" w:rsidRDefault="004A0743" w:rsidP="00072E2F">
      <w:pPr>
        <w:pStyle w:val="NormalWeb"/>
        <w:spacing w:before="0" w:beforeAutospacing="0" w:after="0" w:afterAutospacing="0"/>
        <w:ind w:left="720"/>
        <w:jc w:val="both"/>
      </w:pPr>
    </w:p>
    <w:p w14:paraId="10B8EF8B" w14:textId="318251A0" w:rsidR="004A0743" w:rsidRPr="004A0743" w:rsidRDefault="004A0743" w:rsidP="00072E2F">
      <w:pPr>
        <w:pStyle w:val="NormalWeb"/>
        <w:spacing w:before="0" w:beforeAutospacing="0" w:after="0" w:afterAutospacing="0"/>
        <w:ind w:left="720"/>
        <w:jc w:val="both"/>
        <w:rPr>
          <w:i/>
          <w:iCs/>
        </w:rPr>
      </w:pPr>
      <w:r>
        <w:tab/>
      </w:r>
      <w:r>
        <w:rPr>
          <w:i/>
          <w:iCs/>
        </w:rPr>
        <w:t>Må vurderes individuelt på hver enkelt fond og enkeltinvestering.</w:t>
      </w:r>
    </w:p>
    <w:p w14:paraId="054C1D5E" w14:textId="77777777" w:rsidR="000D4BE7" w:rsidRPr="00072E2F" w:rsidRDefault="000D4BE7" w:rsidP="00072E2F">
      <w:pPr>
        <w:pStyle w:val="NormalWeb"/>
        <w:spacing w:before="0" w:beforeAutospacing="0" w:after="0" w:afterAutospacing="0"/>
        <w:ind w:left="720"/>
        <w:jc w:val="both"/>
      </w:pPr>
    </w:p>
    <w:p w14:paraId="73ECF045" w14:textId="77777777" w:rsidR="00046E55" w:rsidRPr="00072E2F" w:rsidRDefault="00046E55" w:rsidP="00072E2F">
      <w:pPr>
        <w:pStyle w:val="NormalWeb"/>
        <w:spacing w:before="0" w:beforeAutospacing="0" w:after="0" w:afterAutospacing="0"/>
        <w:ind w:left="720"/>
        <w:jc w:val="both"/>
      </w:pPr>
    </w:p>
    <w:p w14:paraId="67A68293" w14:textId="77777777" w:rsidR="00046E55" w:rsidRPr="00072E2F" w:rsidRDefault="00046E55" w:rsidP="00072E2F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72E2F">
        <w:lastRenderedPageBreak/>
        <w:t xml:space="preserve">Integrering av bærekraftsrisiko i investeringsbeslutninger: </w:t>
      </w:r>
    </w:p>
    <w:p w14:paraId="729E8287" w14:textId="77777777" w:rsidR="00046E55" w:rsidRPr="00072E2F" w:rsidRDefault="00046E55" w:rsidP="00072E2F">
      <w:pPr>
        <w:pStyle w:val="NormalWeb"/>
        <w:spacing w:before="0" w:beforeAutospacing="0" w:after="0" w:afterAutospacing="0"/>
        <w:ind w:left="720"/>
        <w:jc w:val="both"/>
      </w:pPr>
    </w:p>
    <w:p w14:paraId="6A0B69EC" w14:textId="77777777" w:rsidR="00046E55" w:rsidRDefault="00046E55" w:rsidP="00072E2F">
      <w:pPr>
        <w:pStyle w:val="NormalWeb"/>
        <w:spacing w:before="0" w:beforeAutospacing="0" w:after="0" w:afterAutospacing="0"/>
        <w:ind w:left="720"/>
        <w:jc w:val="both"/>
      </w:pPr>
      <w:r w:rsidRPr="00072E2F">
        <w:t xml:space="preserve">a. Ta hensyn til bærekraftsrisiko i investeringsbeslutninger for aksjefond, rentefond og enkeltaksjer. </w:t>
      </w:r>
    </w:p>
    <w:p w14:paraId="2D0FB2A2" w14:textId="77777777" w:rsidR="00F23F1B" w:rsidRDefault="00F23F1B" w:rsidP="00072E2F">
      <w:pPr>
        <w:pStyle w:val="NormalWeb"/>
        <w:spacing w:before="0" w:beforeAutospacing="0" w:after="0" w:afterAutospacing="0"/>
        <w:ind w:left="720"/>
        <w:jc w:val="both"/>
      </w:pPr>
    </w:p>
    <w:p w14:paraId="5020590A" w14:textId="093AF307" w:rsidR="00F23F1B" w:rsidRPr="00F23F1B" w:rsidRDefault="00591857" w:rsidP="0074415F">
      <w:pPr>
        <w:pStyle w:val="NormalWeb"/>
        <w:spacing w:before="0" w:beforeAutospacing="0" w:after="0" w:afterAutospacing="0"/>
        <w:ind w:left="1416"/>
        <w:jc w:val="both"/>
        <w:rPr>
          <w:i/>
          <w:iCs/>
        </w:rPr>
      </w:pPr>
      <w:r>
        <w:rPr>
          <w:i/>
          <w:iCs/>
        </w:rPr>
        <w:t xml:space="preserve">Enkeltaksjer skal være i bransjer som har fremtiden foran seg, med sterk sosial og </w:t>
      </w:r>
      <w:proofErr w:type="spellStart"/>
      <w:r>
        <w:rPr>
          <w:i/>
          <w:iCs/>
        </w:rPr>
        <w:t>styremessig</w:t>
      </w:r>
      <w:proofErr w:type="spellEnd"/>
      <w:r>
        <w:rPr>
          <w:i/>
          <w:iCs/>
        </w:rPr>
        <w:t xml:space="preserve"> </w:t>
      </w:r>
      <w:r w:rsidR="001A7701">
        <w:rPr>
          <w:i/>
          <w:iCs/>
        </w:rPr>
        <w:t xml:space="preserve">integritet. Aksjefond skal </w:t>
      </w:r>
      <w:r w:rsidR="00B53137">
        <w:rPr>
          <w:i/>
          <w:iCs/>
        </w:rPr>
        <w:t>ha en ekskluderingsstandard</w:t>
      </w:r>
    </w:p>
    <w:p w14:paraId="4E2CBBAF" w14:textId="77777777" w:rsidR="00F36CDB" w:rsidRPr="00072E2F" w:rsidRDefault="00F36CDB" w:rsidP="00072E2F">
      <w:pPr>
        <w:pStyle w:val="NormalWeb"/>
        <w:spacing w:before="0" w:beforeAutospacing="0" w:after="0" w:afterAutospacing="0"/>
        <w:ind w:left="720"/>
        <w:jc w:val="both"/>
      </w:pPr>
    </w:p>
    <w:p w14:paraId="2F4A6B87" w14:textId="0F630C5C" w:rsidR="00046E55" w:rsidRPr="00072E2F" w:rsidRDefault="00046E55" w:rsidP="00072E2F">
      <w:pPr>
        <w:pStyle w:val="NormalWeb"/>
        <w:spacing w:before="0" w:beforeAutospacing="0" w:after="0" w:afterAutospacing="0"/>
        <w:ind w:left="720"/>
        <w:jc w:val="both"/>
      </w:pPr>
      <w:r w:rsidRPr="00072E2F">
        <w:t xml:space="preserve">b. Bruk tilgjengelige </w:t>
      </w:r>
      <w:proofErr w:type="spellStart"/>
      <w:r w:rsidRPr="00072E2F">
        <w:t>bærekraftsrangeringer</w:t>
      </w:r>
      <w:proofErr w:type="spellEnd"/>
      <w:r w:rsidRPr="00072E2F">
        <w:t>, -indekser eller -data for å informere investeringsbeslutninger</w:t>
      </w:r>
    </w:p>
    <w:p w14:paraId="0B8BD915" w14:textId="0F13B693" w:rsidR="00666623" w:rsidRPr="00072E2F" w:rsidRDefault="00666623" w:rsidP="00072E2F">
      <w:pPr>
        <w:pStyle w:val="NormalWeb"/>
        <w:spacing w:before="0" w:beforeAutospacing="0" w:after="0" w:afterAutospacing="0"/>
        <w:ind w:left="720"/>
        <w:jc w:val="both"/>
      </w:pPr>
      <w:r w:rsidRPr="00072E2F">
        <w:tab/>
      </w:r>
    </w:p>
    <w:p w14:paraId="4E0BECB8" w14:textId="5DCE3B15" w:rsidR="00666623" w:rsidRPr="00072E2F" w:rsidRDefault="00666623" w:rsidP="0074415F">
      <w:pPr>
        <w:pStyle w:val="NormalWeb"/>
        <w:spacing w:before="0" w:beforeAutospacing="0" w:after="0" w:afterAutospacing="0"/>
        <w:ind w:left="1416"/>
        <w:jc w:val="both"/>
        <w:rPr>
          <w:i/>
          <w:iCs/>
        </w:rPr>
      </w:pPr>
      <w:r w:rsidRPr="00072E2F">
        <w:rPr>
          <w:i/>
          <w:iCs/>
        </w:rPr>
        <w:t>Aksje- og rentefond skal alt annet likt h</w:t>
      </w:r>
      <w:r w:rsidR="00603899" w:rsidRPr="00072E2F">
        <w:rPr>
          <w:i/>
          <w:iCs/>
        </w:rPr>
        <w:t>elst ha</w:t>
      </w:r>
      <w:r w:rsidRPr="00072E2F">
        <w:rPr>
          <w:i/>
          <w:iCs/>
        </w:rPr>
        <w:t xml:space="preserve"> en </w:t>
      </w:r>
      <w:proofErr w:type="spellStart"/>
      <w:r w:rsidRPr="00072E2F">
        <w:rPr>
          <w:i/>
          <w:iCs/>
        </w:rPr>
        <w:t>bærekraftsklassifisering</w:t>
      </w:r>
      <w:proofErr w:type="spellEnd"/>
      <w:r w:rsidRPr="00072E2F">
        <w:rPr>
          <w:i/>
          <w:iCs/>
        </w:rPr>
        <w:t xml:space="preserve"> på 8, men </w:t>
      </w:r>
      <w:r w:rsidR="00603899" w:rsidRPr="00072E2F">
        <w:rPr>
          <w:i/>
          <w:iCs/>
        </w:rPr>
        <w:t xml:space="preserve">det </w:t>
      </w:r>
      <w:r w:rsidRPr="00072E2F">
        <w:rPr>
          <w:i/>
          <w:iCs/>
        </w:rPr>
        <w:t>tillate</w:t>
      </w:r>
      <w:r w:rsidR="00603899" w:rsidRPr="00072E2F">
        <w:rPr>
          <w:i/>
          <w:iCs/>
        </w:rPr>
        <w:t>s</w:t>
      </w:r>
      <w:r w:rsidRPr="00072E2F">
        <w:rPr>
          <w:i/>
          <w:iCs/>
        </w:rPr>
        <w:t xml:space="preserve"> også </w:t>
      </w:r>
      <w:r w:rsidR="00386FC0" w:rsidRPr="00072E2F">
        <w:rPr>
          <w:i/>
          <w:iCs/>
        </w:rPr>
        <w:t>6</w:t>
      </w:r>
      <w:r w:rsidR="00603899" w:rsidRPr="00072E2F">
        <w:rPr>
          <w:i/>
          <w:iCs/>
        </w:rPr>
        <w:t xml:space="preserve"> dersom utsiktene er gode</w:t>
      </w:r>
      <w:r w:rsidR="00386FC0" w:rsidRPr="00072E2F">
        <w:rPr>
          <w:i/>
          <w:iCs/>
        </w:rPr>
        <w:t xml:space="preserve">. Per juni 2023 tilsier undersøkelser blant fondsforvaltere at det er flere rentefond som vil bli klassifisert som 6. Våre modellporteføljer har i perioder store innslag av rentefond, og det må regnes med perioder med </w:t>
      </w:r>
      <w:r w:rsidR="000F505E" w:rsidRPr="00072E2F">
        <w:rPr>
          <w:i/>
          <w:iCs/>
        </w:rPr>
        <w:t xml:space="preserve">innslag av fond klassifisert som 6. For aksjefond er vi av den oppfatning av at 8 vil være mest sannsynlig klassifisering. </w:t>
      </w:r>
    </w:p>
    <w:p w14:paraId="5271DEC8" w14:textId="77777777" w:rsidR="000F505E" w:rsidRPr="00072E2F" w:rsidRDefault="000F505E" w:rsidP="00072E2F">
      <w:pPr>
        <w:pStyle w:val="NormalWeb"/>
        <w:spacing w:before="0" w:beforeAutospacing="0" w:after="0" w:afterAutospacing="0"/>
        <w:ind w:left="720"/>
        <w:jc w:val="both"/>
        <w:rPr>
          <w:i/>
          <w:iCs/>
        </w:rPr>
      </w:pPr>
    </w:p>
    <w:p w14:paraId="64CB951E" w14:textId="52EB7DEA" w:rsidR="00046E55" w:rsidRDefault="00046E55" w:rsidP="00072E2F">
      <w:pPr>
        <w:pStyle w:val="NormalWeb"/>
        <w:spacing w:before="0" w:beforeAutospacing="0" w:after="0" w:afterAutospacing="0"/>
        <w:ind w:left="720"/>
        <w:jc w:val="both"/>
      </w:pPr>
      <w:r w:rsidRPr="00072E2F">
        <w:t xml:space="preserve">c. Vurder </w:t>
      </w:r>
      <w:proofErr w:type="spellStart"/>
      <w:r w:rsidRPr="00072E2F">
        <w:t>bærekraftsfaktorer</w:t>
      </w:r>
      <w:proofErr w:type="spellEnd"/>
      <w:r w:rsidRPr="00072E2F">
        <w:t xml:space="preserve"> sammen med andre finansielle og ikke-finansielle faktorer for å ta informerte og balanserte beslutninger.</w:t>
      </w:r>
    </w:p>
    <w:p w14:paraId="0BE57B8A" w14:textId="77777777" w:rsidR="00C24DC9" w:rsidRDefault="00C24DC9" w:rsidP="00072E2F">
      <w:pPr>
        <w:pStyle w:val="NormalWeb"/>
        <w:spacing w:before="0" w:beforeAutospacing="0" w:after="0" w:afterAutospacing="0"/>
        <w:ind w:left="720"/>
        <w:jc w:val="both"/>
      </w:pPr>
    </w:p>
    <w:p w14:paraId="66281157" w14:textId="77777777" w:rsidR="00046E55" w:rsidRPr="00072E2F" w:rsidRDefault="00046E55" w:rsidP="00072E2F">
      <w:pPr>
        <w:pStyle w:val="NormalWeb"/>
        <w:spacing w:before="0" w:beforeAutospacing="0" w:after="0" w:afterAutospacing="0"/>
        <w:ind w:left="720"/>
        <w:jc w:val="both"/>
      </w:pPr>
    </w:p>
    <w:p w14:paraId="776962E0" w14:textId="77777777" w:rsidR="00046E55" w:rsidRPr="00072E2F" w:rsidRDefault="00046E55" w:rsidP="00072E2F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r w:rsidRPr="00072E2F">
        <w:t xml:space="preserve">Etablere retningslinjer for engasjement: </w:t>
      </w:r>
    </w:p>
    <w:p w14:paraId="124117CA" w14:textId="77777777" w:rsidR="00046E55" w:rsidRPr="00072E2F" w:rsidRDefault="00046E55" w:rsidP="00072E2F">
      <w:pPr>
        <w:pStyle w:val="NormalWeb"/>
        <w:spacing w:before="0" w:beforeAutospacing="0" w:after="0" w:afterAutospacing="0"/>
        <w:ind w:left="720"/>
        <w:jc w:val="both"/>
      </w:pPr>
    </w:p>
    <w:p w14:paraId="41E94CB4" w14:textId="4119453D" w:rsidR="00046E55" w:rsidRDefault="00046E55" w:rsidP="00C24DC9">
      <w:pPr>
        <w:pStyle w:val="NormalWeb"/>
        <w:numPr>
          <w:ilvl w:val="1"/>
          <w:numId w:val="7"/>
        </w:numPr>
        <w:spacing w:before="0" w:beforeAutospacing="0" w:after="0" w:afterAutospacing="0"/>
        <w:jc w:val="both"/>
      </w:pPr>
      <w:r w:rsidRPr="00072E2F">
        <w:t xml:space="preserve">Fastsett klare retningslinjer for hvordan porteføljen skal håndtere selskaper med høy bærekraftsrisiko eller som er involvert i kontroversielle aktiviteter. </w:t>
      </w:r>
    </w:p>
    <w:p w14:paraId="0CACEEE5" w14:textId="77777777" w:rsidR="00C24DC9" w:rsidRDefault="00C24DC9" w:rsidP="00C24DC9">
      <w:pPr>
        <w:pStyle w:val="NormalWeb"/>
        <w:spacing w:before="0" w:beforeAutospacing="0" w:after="0" w:afterAutospacing="0"/>
        <w:ind w:left="1080"/>
        <w:jc w:val="both"/>
      </w:pPr>
    </w:p>
    <w:p w14:paraId="4B89C23D" w14:textId="37D06E2A" w:rsidR="00260080" w:rsidRPr="0074415F" w:rsidRDefault="00260080" w:rsidP="0074415F">
      <w:pPr>
        <w:pStyle w:val="NormalWeb"/>
        <w:spacing w:before="0" w:beforeAutospacing="0" w:after="0" w:afterAutospacing="0"/>
        <w:ind w:left="1416"/>
        <w:jc w:val="both"/>
        <w:rPr>
          <w:i/>
          <w:iCs/>
        </w:rPr>
      </w:pPr>
      <w:r w:rsidRPr="0074415F">
        <w:rPr>
          <w:i/>
          <w:iCs/>
        </w:rPr>
        <w:t xml:space="preserve">Våre porteføljer skal </w:t>
      </w:r>
      <w:r w:rsidR="00F2187F" w:rsidRPr="0074415F">
        <w:rPr>
          <w:i/>
          <w:iCs/>
        </w:rPr>
        <w:t xml:space="preserve">ta hensyn til bærekraft i sine investeringsbeslutninger, uten at det er et konkret mål </w:t>
      </w:r>
      <w:r w:rsidR="006D04DC" w:rsidRPr="0074415F">
        <w:rPr>
          <w:i/>
          <w:iCs/>
        </w:rPr>
        <w:t xml:space="preserve">at formålet </w:t>
      </w:r>
      <w:r w:rsidR="00557B17" w:rsidRPr="0074415F">
        <w:rPr>
          <w:i/>
          <w:iCs/>
        </w:rPr>
        <w:t xml:space="preserve">med investeringen er klima eller at investeringen skal fremme bærekraft. </w:t>
      </w:r>
    </w:p>
    <w:p w14:paraId="0D9EC86C" w14:textId="77777777" w:rsidR="00557B17" w:rsidRPr="00260080" w:rsidRDefault="00557B17" w:rsidP="00C24DC9">
      <w:pPr>
        <w:pStyle w:val="NormalWeb"/>
        <w:spacing w:before="0" w:beforeAutospacing="0" w:after="0" w:afterAutospacing="0"/>
        <w:ind w:left="1080"/>
        <w:jc w:val="both"/>
        <w:rPr>
          <w:b/>
          <w:bCs/>
          <w:i/>
          <w:iCs/>
        </w:rPr>
      </w:pPr>
    </w:p>
    <w:p w14:paraId="0928BC3F" w14:textId="77777777" w:rsidR="003E46DD" w:rsidRDefault="00C24DC9" w:rsidP="005C7B38">
      <w:pPr>
        <w:spacing w:before="120" w:after="120" w:line="276" w:lineRule="auto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46DD">
        <w:rPr>
          <w:rFonts w:ascii="Times New Roman" w:hAnsi="Times New Roman" w:cs="Times New Roman"/>
          <w:i/>
          <w:iCs/>
          <w:sz w:val="24"/>
          <w:szCs w:val="24"/>
        </w:rPr>
        <w:t xml:space="preserve">Skal ikke investere i selskaper </w:t>
      </w:r>
      <w:r w:rsidR="00094A91" w:rsidRPr="003E46DD">
        <w:rPr>
          <w:rFonts w:ascii="Times New Roman" w:hAnsi="Times New Roman" w:cs="Times New Roman"/>
          <w:i/>
          <w:iCs/>
          <w:sz w:val="24"/>
          <w:szCs w:val="24"/>
        </w:rPr>
        <w:t xml:space="preserve">og fond under kategori 6, og i enkeltselskaper hvor det er </w:t>
      </w:r>
      <w:r w:rsidR="00716248" w:rsidRPr="003E46DD">
        <w:rPr>
          <w:rFonts w:ascii="Times New Roman" w:hAnsi="Times New Roman" w:cs="Times New Roman"/>
          <w:i/>
          <w:iCs/>
          <w:sz w:val="24"/>
          <w:szCs w:val="24"/>
        </w:rPr>
        <w:t>høy usikkerhet knyttet til ESG-temaet</w:t>
      </w:r>
      <w:r w:rsidR="003E46DD" w:rsidRPr="003E46DD">
        <w:rPr>
          <w:rFonts w:ascii="Times New Roman" w:hAnsi="Times New Roman" w:cs="Times New Roman"/>
          <w:i/>
          <w:iCs/>
          <w:sz w:val="24"/>
          <w:szCs w:val="24"/>
        </w:rPr>
        <w:t xml:space="preserve">. Dersom vi anser </w:t>
      </w:r>
      <w:proofErr w:type="spellStart"/>
      <w:r w:rsidR="003E46DD" w:rsidRPr="003E46DD">
        <w:rPr>
          <w:rFonts w:ascii="Times New Roman" w:hAnsi="Times New Roman" w:cs="Times New Roman"/>
          <w:i/>
          <w:iCs/>
          <w:sz w:val="24"/>
          <w:szCs w:val="24"/>
        </w:rPr>
        <w:t>bærekraftsrisikoen</w:t>
      </w:r>
      <w:proofErr w:type="spellEnd"/>
      <w:r w:rsidR="003E46DD" w:rsidRPr="003E46DD">
        <w:rPr>
          <w:rFonts w:ascii="Times New Roman" w:hAnsi="Times New Roman" w:cs="Times New Roman"/>
          <w:i/>
          <w:iCs/>
          <w:sz w:val="24"/>
          <w:szCs w:val="24"/>
        </w:rPr>
        <w:t xml:space="preserve"> for å være for stor og/eller selskapene ikke jobber aktivt med å redusere den vil vi unngå å investere i selskapet. </w:t>
      </w:r>
    </w:p>
    <w:p w14:paraId="17FB08FD" w14:textId="11AD3DFD" w:rsidR="00260080" w:rsidRPr="00260080" w:rsidRDefault="00B37BC5" w:rsidP="005C7B38">
      <w:pPr>
        <w:spacing w:before="120" w:after="120" w:line="276" w:lineRule="auto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158F">
        <w:rPr>
          <w:rFonts w:ascii="Times New Roman" w:hAnsi="Times New Roman" w:cs="Times New Roman"/>
          <w:i/>
          <w:iCs/>
          <w:sz w:val="24"/>
          <w:szCs w:val="24"/>
        </w:rPr>
        <w:t>Vi tar hensyn til negative effekter i våre investeringer gjennom bruk av ekskluderinger, aktivt eierskap og kvantitative analyser. Vi ekskluderer selskaper som bryter med internasjonale normer eller som produserer/videreformidler produkter med uheldige karakteristika. Dette omfatter blant annet selskaper med stor negativ klima- og miljøpåvirkning, selskaper som bryter med folkeretten/menneskerettigheter eller selskaper der det er identifisert problemstillinger knyttet til korrupsjon og/eller økonomisk kriminalitet.</w:t>
      </w:r>
    </w:p>
    <w:p w14:paraId="0BDBD1F9" w14:textId="7ACA772D" w:rsidR="00C24DC9" w:rsidRPr="00C24DC9" w:rsidRDefault="00C24DC9" w:rsidP="00C24DC9">
      <w:pPr>
        <w:pStyle w:val="NormalWeb"/>
        <w:spacing w:before="0" w:beforeAutospacing="0" w:after="0" w:afterAutospacing="0"/>
        <w:ind w:left="1416"/>
        <w:jc w:val="both"/>
        <w:rPr>
          <w:i/>
          <w:iCs/>
        </w:rPr>
      </w:pPr>
    </w:p>
    <w:p w14:paraId="5EE9F501" w14:textId="77777777" w:rsidR="005C7B38" w:rsidRDefault="00046E55" w:rsidP="00072E2F">
      <w:pPr>
        <w:pStyle w:val="NormalWeb"/>
        <w:spacing w:before="0" w:beforeAutospacing="0" w:after="0" w:afterAutospacing="0"/>
        <w:ind w:left="720"/>
        <w:jc w:val="both"/>
      </w:pPr>
      <w:r w:rsidRPr="00072E2F">
        <w:t xml:space="preserve">b. Definer kriterier for engasjement, for eksempel å unngå visse sektorer eller selskaper som ikke oppfyller </w:t>
      </w:r>
      <w:proofErr w:type="spellStart"/>
      <w:r w:rsidRPr="00072E2F">
        <w:t>bærekraftskravene</w:t>
      </w:r>
      <w:proofErr w:type="spellEnd"/>
      <w:r w:rsidRPr="00072E2F">
        <w:t>.</w:t>
      </w:r>
    </w:p>
    <w:p w14:paraId="15A29271" w14:textId="55094005" w:rsidR="00716248" w:rsidRDefault="00716248" w:rsidP="00072E2F">
      <w:pPr>
        <w:pStyle w:val="NormalWeb"/>
        <w:spacing w:before="0" w:beforeAutospacing="0" w:after="0" w:afterAutospacing="0"/>
        <w:ind w:left="720"/>
        <w:jc w:val="both"/>
        <w:rPr>
          <w:i/>
          <w:iCs/>
        </w:rPr>
      </w:pPr>
      <w:r>
        <w:tab/>
      </w:r>
      <w:r>
        <w:rPr>
          <w:i/>
          <w:iCs/>
        </w:rPr>
        <w:t>Skal ikke investere</w:t>
      </w:r>
      <w:r w:rsidR="00385B59">
        <w:rPr>
          <w:i/>
          <w:iCs/>
        </w:rPr>
        <w:t>s i enkeltaksjer utenfor NBIM sin ekskluderingsliste</w:t>
      </w:r>
    </w:p>
    <w:sectPr w:rsidR="00716248" w:rsidSect="005C7B3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6CDF"/>
    <w:multiLevelType w:val="multilevel"/>
    <w:tmpl w:val="A9F8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76A74"/>
    <w:multiLevelType w:val="hybridMultilevel"/>
    <w:tmpl w:val="CF4AD4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A61C2"/>
    <w:multiLevelType w:val="hybridMultilevel"/>
    <w:tmpl w:val="0C6C03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96195"/>
    <w:multiLevelType w:val="hybridMultilevel"/>
    <w:tmpl w:val="6144C636"/>
    <w:lvl w:ilvl="0" w:tplc="A794682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1400"/>
    <w:multiLevelType w:val="multilevel"/>
    <w:tmpl w:val="DB40E2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67179A"/>
    <w:multiLevelType w:val="multilevel"/>
    <w:tmpl w:val="420AE1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0001AD"/>
    <w:multiLevelType w:val="hybridMultilevel"/>
    <w:tmpl w:val="2E2474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548B1"/>
    <w:multiLevelType w:val="multilevel"/>
    <w:tmpl w:val="FAA4F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896C2F"/>
    <w:multiLevelType w:val="multilevel"/>
    <w:tmpl w:val="4410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E94F2F"/>
    <w:multiLevelType w:val="multilevel"/>
    <w:tmpl w:val="12769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2009813">
    <w:abstractNumId w:val="8"/>
  </w:num>
  <w:num w:numId="2" w16cid:durableId="960653814">
    <w:abstractNumId w:val="7"/>
  </w:num>
  <w:num w:numId="3" w16cid:durableId="1091580827">
    <w:abstractNumId w:val="9"/>
  </w:num>
  <w:num w:numId="4" w16cid:durableId="1824540517">
    <w:abstractNumId w:val="5"/>
  </w:num>
  <w:num w:numId="5" w16cid:durableId="577909717">
    <w:abstractNumId w:val="4"/>
  </w:num>
  <w:num w:numId="6" w16cid:durableId="138112843">
    <w:abstractNumId w:val="3"/>
  </w:num>
  <w:num w:numId="7" w16cid:durableId="177237824">
    <w:abstractNumId w:val="0"/>
  </w:num>
  <w:num w:numId="8" w16cid:durableId="1552107061">
    <w:abstractNumId w:val="6"/>
  </w:num>
  <w:num w:numId="9" w16cid:durableId="210312280">
    <w:abstractNumId w:val="2"/>
  </w:num>
  <w:num w:numId="10" w16cid:durableId="1095785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AA"/>
    <w:rsid w:val="00016988"/>
    <w:rsid w:val="00042E16"/>
    <w:rsid w:val="00046E55"/>
    <w:rsid w:val="00072E2F"/>
    <w:rsid w:val="000744BE"/>
    <w:rsid w:val="00094A91"/>
    <w:rsid w:val="000B6256"/>
    <w:rsid w:val="000D4BE7"/>
    <w:rsid w:val="000D5BAA"/>
    <w:rsid w:val="000E25E2"/>
    <w:rsid w:val="000F505E"/>
    <w:rsid w:val="00151958"/>
    <w:rsid w:val="001A7701"/>
    <w:rsid w:val="00260080"/>
    <w:rsid w:val="00282C3C"/>
    <w:rsid w:val="00290325"/>
    <w:rsid w:val="002A6EAC"/>
    <w:rsid w:val="003039EE"/>
    <w:rsid w:val="003157D1"/>
    <w:rsid w:val="0034721D"/>
    <w:rsid w:val="003512FE"/>
    <w:rsid w:val="0038158F"/>
    <w:rsid w:val="00385B59"/>
    <w:rsid w:val="00386FC0"/>
    <w:rsid w:val="003D7036"/>
    <w:rsid w:val="003E46DD"/>
    <w:rsid w:val="0044320B"/>
    <w:rsid w:val="00454F64"/>
    <w:rsid w:val="004716DF"/>
    <w:rsid w:val="00495EFE"/>
    <w:rsid w:val="004A0743"/>
    <w:rsid w:val="004F0700"/>
    <w:rsid w:val="00557B17"/>
    <w:rsid w:val="00591857"/>
    <w:rsid w:val="00593C95"/>
    <w:rsid w:val="005C7B38"/>
    <w:rsid w:val="00603899"/>
    <w:rsid w:val="0064458A"/>
    <w:rsid w:val="00647AFE"/>
    <w:rsid w:val="00654E84"/>
    <w:rsid w:val="00666623"/>
    <w:rsid w:val="00675035"/>
    <w:rsid w:val="006D04DC"/>
    <w:rsid w:val="006F4BC3"/>
    <w:rsid w:val="00711C38"/>
    <w:rsid w:val="00716248"/>
    <w:rsid w:val="0074415F"/>
    <w:rsid w:val="007800F5"/>
    <w:rsid w:val="0082290C"/>
    <w:rsid w:val="008926A8"/>
    <w:rsid w:val="008B6A81"/>
    <w:rsid w:val="00997CF1"/>
    <w:rsid w:val="009E3434"/>
    <w:rsid w:val="00A91EA9"/>
    <w:rsid w:val="00AC6923"/>
    <w:rsid w:val="00AE1868"/>
    <w:rsid w:val="00B37BC5"/>
    <w:rsid w:val="00B53137"/>
    <w:rsid w:val="00C24DC9"/>
    <w:rsid w:val="00C92CDB"/>
    <w:rsid w:val="00D518E2"/>
    <w:rsid w:val="00DB15A1"/>
    <w:rsid w:val="00F157B1"/>
    <w:rsid w:val="00F2187F"/>
    <w:rsid w:val="00F23F1B"/>
    <w:rsid w:val="00F25688"/>
    <w:rsid w:val="00F25BFC"/>
    <w:rsid w:val="00F3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689F"/>
  <w15:chartTrackingRefBased/>
  <w15:docId w15:val="{DC220960-F6CE-4A32-B969-384103F7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D5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D5B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D5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D5B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0D5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2F7F9-CA53-4618-A4D6-B665F6B7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Eirikssøn Norderhaug</dc:creator>
  <cp:keywords/>
  <dc:description/>
  <cp:lastModifiedBy>Tor Erik Mørk</cp:lastModifiedBy>
  <cp:revision>2</cp:revision>
  <dcterms:created xsi:type="dcterms:W3CDTF">2024-04-15T10:45:00Z</dcterms:created>
  <dcterms:modified xsi:type="dcterms:W3CDTF">2024-04-15T10:45:00Z</dcterms:modified>
</cp:coreProperties>
</file>