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C507" w14:textId="77777777" w:rsidR="00C21A21" w:rsidRPr="00142979" w:rsidRDefault="004F41D3">
      <w:pPr>
        <w:rPr>
          <w:sz w:val="40"/>
          <w:szCs w:val="40"/>
          <w:lang w:val="nb-NO"/>
        </w:rPr>
      </w:pPr>
      <w:r>
        <w:rPr>
          <w:sz w:val="40"/>
          <w:szCs w:val="40"/>
          <w:lang w:val="nb-NO"/>
        </w:rPr>
        <w:t>AlphaSpar</w:t>
      </w:r>
      <w:r w:rsidR="00142979" w:rsidRPr="00142979">
        <w:rPr>
          <w:sz w:val="40"/>
          <w:szCs w:val="40"/>
          <w:lang w:val="nb-NO"/>
        </w:rPr>
        <w:t xml:space="preserve"> AS</w:t>
      </w:r>
    </w:p>
    <w:p w14:paraId="28BC8146" w14:textId="16295FC3" w:rsidR="00142979" w:rsidRPr="00142979" w:rsidRDefault="0018482E">
      <w:pPr>
        <w:rPr>
          <w:sz w:val="40"/>
          <w:szCs w:val="40"/>
          <w:lang w:val="nb-NO"/>
        </w:rPr>
      </w:pPr>
      <w:r>
        <w:rPr>
          <w:sz w:val="40"/>
          <w:szCs w:val="40"/>
          <w:lang w:val="nb-NO"/>
        </w:rPr>
        <w:t xml:space="preserve">Retningslinjer for </w:t>
      </w:r>
      <w:r w:rsidR="00142979" w:rsidRPr="00142979">
        <w:rPr>
          <w:sz w:val="40"/>
          <w:szCs w:val="40"/>
          <w:lang w:val="nb-NO"/>
        </w:rPr>
        <w:t>godtgjør</w:t>
      </w:r>
      <w:r w:rsidR="00142979">
        <w:rPr>
          <w:sz w:val="40"/>
          <w:szCs w:val="40"/>
          <w:lang w:val="nb-NO"/>
        </w:rPr>
        <w:t>e</w:t>
      </w:r>
      <w:r w:rsidR="00142979" w:rsidRPr="00142979">
        <w:rPr>
          <w:sz w:val="40"/>
          <w:szCs w:val="40"/>
          <w:lang w:val="nb-NO"/>
        </w:rPr>
        <w:t>lsesordningen</w:t>
      </w:r>
    </w:p>
    <w:p w14:paraId="62B82B33" w14:textId="4C54F8B3" w:rsidR="00142979" w:rsidRDefault="00142979">
      <w:pPr>
        <w:rPr>
          <w:lang w:val="nb-NO"/>
        </w:rPr>
      </w:pPr>
      <w:r w:rsidRPr="001520C5">
        <w:rPr>
          <w:lang w:val="nb-NO"/>
        </w:rPr>
        <w:t xml:space="preserve">Dato: </w:t>
      </w:r>
      <w:r w:rsidR="00722CA8">
        <w:rPr>
          <w:lang w:val="nb-NO"/>
        </w:rPr>
        <w:t>1</w:t>
      </w:r>
      <w:r w:rsidR="004A27E3">
        <w:rPr>
          <w:lang w:val="nb-NO"/>
        </w:rPr>
        <w:t>.</w:t>
      </w:r>
      <w:r w:rsidRPr="001520C5">
        <w:rPr>
          <w:lang w:val="nb-NO"/>
        </w:rPr>
        <w:t xml:space="preserve"> </w:t>
      </w:r>
      <w:r w:rsidR="00722CA8">
        <w:rPr>
          <w:lang w:val="nb-NO"/>
        </w:rPr>
        <w:t xml:space="preserve">mars </w:t>
      </w:r>
      <w:r w:rsidR="005D68C5">
        <w:rPr>
          <w:lang w:val="nb-NO"/>
        </w:rPr>
        <w:t>20</w:t>
      </w:r>
      <w:r w:rsidR="00105E84">
        <w:rPr>
          <w:lang w:val="nb-NO"/>
        </w:rPr>
        <w:t>2</w:t>
      </w:r>
      <w:r w:rsidR="00B87F51">
        <w:rPr>
          <w:lang w:val="nb-NO"/>
        </w:rPr>
        <w:t>4</w:t>
      </w:r>
    </w:p>
    <w:p w14:paraId="103F7B48" w14:textId="77777777" w:rsidR="00142979" w:rsidRDefault="002F5798" w:rsidP="00C72126">
      <w:pPr>
        <w:pStyle w:val="Stil1"/>
        <w:keepNext w:val="0"/>
        <w:tabs>
          <w:tab w:val="clear" w:pos="851"/>
        </w:tabs>
        <w:spacing w:before="0" w:after="0"/>
        <w:jc w:val="both"/>
        <w:outlineLvl w:val="9"/>
        <w:rPr>
          <w:u w:val="none"/>
        </w:rPr>
      </w:pPr>
      <w:r>
        <w:rPr>
          <w:u w:val="none"/>
        </w:rPr>
        <w:t>AlphaSpar</w:t>
      </w:r>
      <w:r w:rsidR="00BE38AD">
        <w:rPr>
          <w:u w:val="none"/>
        </w:rPr>
        <w:t xml:space="preserve"> AS</w:t>
      </w:r>
      <w:r w:rsidR="00142979">
        <w:rPr>
          <w:u w:val="none"/>
        </w:rPr>
        <w:t xml:space="preserve"> en underlagt </w:t>
      </w:r>
      <w:r w:rsidR="00D65B3B">
        <w:rPr>
          <w:u w:val="none"/>
        </w:rPr>
        <w:t>reglene</w:t>
      </w:r>
      <w:r w:rsidR="00C72126">
        <w:rPr>
          <w:u w:val="none"/>
        </w:rPr>
        <w:t xml:space="preserve"> om godtgjørelse i </w:t>
      </w:r>
      <w:r w:rsidR="006760FB">
        <w:rPr>
          <w:u w:val="none"/>
        </w:rPr>
        <w:t>finansforetaksloven</w:t>
      </w:r>
      <w:r w:rsidR="00C72126">
        <w:rPr>
          <w:u w:val="none"/>
        </w:rPr>
        <w:t xml:space="preserve"> av 10. april 2015 nr. 17 kapittel 15 og </w:t>
      </w:r>
      <w:r w:rsidR="006760FB">
        <w:rPr>
          <w:u w:val="none"/>
        </w:rPr>
        <w:t>finansforetaksforskriften</w:t>
      </w:r>
      <w:r w:rsidR="00C72126">
        <w:rPr>
          <w:u w:val="none"/>
        </w:rPr>
        <w:t xml:space="preserve"> av 9. desember 2016 nr. 1502 kapittel 15 del I. </w:t>
      </w:r>
      <w:r w:rsidR="00142979" w:rsidRPr="00025598">
        <w:rPr>
          <w:u w:val="none"/>
        </w:rPr>
        <w:t>Godtgjørelsesordning</w:t>
      </w:r>
      <w:r w:rsidR="00692548">
        <w:rPr>
          <w:u w:val="none"/>
        </w:rPr>
        <w:t>en</w:t>
      </w:r>
      <w:r w:rsidR="00142979" w:rsidRPr="00025598">
        <w:rPr>
          <w:u w:val="none"/>
        </w:rPr>
        <w:t xml:space="preserve"> skal bidra til å fremme og gi incentiver til god styring av og kontroll med foretakets risiko, motvirke for høy risikotaking, og bidra til å unngå interessekonflikter.</w:t>
      </w:r>
    </w:p>
    <w:p w14:paraId="6E694069" w14:textId="77777777" w:rsidR="00692548" w:rsidRPr="00C72126" w:rsidRDefault="00692548" w:rsidP="00C72126">
      <w:pPr>
        <w:pStyle w:val="Stil1"/>
        <w:keepNext w:val="0"/>
        <w:tabs>
          <w:tab w:val="clear" w:pos="851"/>
        </w:tabs>
        <w:spacing w:before="0" w:after="0"/>
        <w:jc w:val="both"/>
        <w:outlineLvl w:val="9"/>
        <w:rPr>
          <w:u w:val="none"/>
        </w:rPr>
      </w:pPr>
    </w:p>
    <w:p w14:paraId="56D8F261" w14:textId="1993630E" w:rsidR="00142979" w:rsidRDefault="00142979">
      <w:pPr>
        <w:rPr>
          <w:rFonts w:ascii="Times New Roman" w:eastAsia="Times New Roman" w:hAnsi="Times New Roman" w:cs="Times New Roman"/>
          <w:sz w:val="24"/>
          <w:szCs w:val="20"/>
          <w:lang w:val="nb-NO" w:eastAsia="nb-NO"/>
        </w:rPr>
      </w:pPr>
      <w:r w:rsidRPr="00142979">
        <w:rPr>
          <w:rFonts w:ascii="Times New Roman" w:eastAsia="Times New Roman" w:hAnsi="Times New Roman" w:cs="Times New Roman"/>
          <w:sz w:val="24"/>
          <w:szCs w:val="20"/>
          <w:lang w:val="nb-NO" w:eastAsia="nb-NO"/>
        </w:rPr>
        <w:t xml:space="preserve">Praktiseringen av godtgjørelsesordningen skal minst en gang i året gjennomgås av uavhengige kontrollfunksjoner, jf. forskrift 22. september 2008 nr. 1080 om risikostyring og internkontroll. Foretaket skal utarbeide en skriftlig rapport om den årlige gjennomgangen hvert år. Rapporten </w:t>
      </w:r>
      <w:r>
        <w:rPr>
          <w:rFonts w:ascii="Times New Roman" w:eastAsia="Times New Roman" w:hAnsi="Times New Roman" w:cs="Times New Roman"/>
          <w:sz w:val="24"/>
          <w:szCs w:val="20"/>
          <w:lang w:val="nb-NO" w:eastAsia="nb-NO"/>
        </w:rPr>
        <w:t>s</w:t>
      </w:r>
      <w:r w:rsidRPr="00142979">
        <w:rPr>
          <w:rFonts w:ascii="Times New Roman" w:eastAsia="Times New Roman" w:hAnsi="Times New Roman" w:cs="Times New Roman"/>
          <w:sz w:val="24"/>
          <w:szCs w:val="20"/>
          <w:lang w:val="nb-NO" w:eastAsia="nb-NO"/>
        </w:rPr>
        <w:t>kal på forespørsel oversendes til Finanstilsynet.</w:t>
      </w:r>
    </w:p>
    <w:p w14:paraId="464BDE29" w14:textId="77777777" w:rsidR="005E793C" w:rsidRPr="00142979" w:rsidRDefault="005E793C">
      <w:pPr>
        <w:rPr>
          <w:rFonts w:ascii="Times New Roman" w:eastAsia="Times New Roman" w:hAnsi="Times New Roman" w:cs="Times New Roman"/>
          <w:sz w:val="24"/>
          <w:szCs w:val="20"/>
          <w:lang w:val="nb-NO" w:eastAsia="nb-NO"/>
        </w:rPr>
      </w:pPr>
    </w:p>
    <w:p w14:paraId="4FC8C707" w14:textId="45F0B005" w:rsidR="00865DB8" w:rsidRPr="00B43044" w:rsidRDefault="00865DB8">
      <w:pPr>
        <w:rPr>
          <w:rFonts w:ascii="Times New Roman" w:eastAsia="Times New Roman" w:hAnsi="Times New Roman" w:cs="Times New Roman"/>
          <w:b/>
          <w:bCs/>
          <w:sz w:val="24"/>
          <w:szCs w:val="20"/>
          <w:lang w:val="nb-NO" w:eastAsia="nb-NO"/>
        </w:rPr>
      </w:pPr>
      <w:r w:rsidRPr="00B43044">
        <w:rPr>
          <w:rFonts w:ascii="Times New Roman" w:eastAsia="Times New Roman" w:hAnsi="Times New Roman" w:cs="Times New Roman"/>
          <w:b/>
          <w:bCs/>
          <w:sz w:val="24"/>
          <w:szCs w:val="20"/>
          <w:lang w:val="nb-NO" w:eastAsia="nb-NO"/>
        </w:rPr>
        <w:t>Styrets ansvar</w:t>
      </w:r>
    </w:p>
    <w:p w14:paraId="589905BD" w14:textId="192E9B18" w:rsidR="00865DB8" w:rsidRPr="00B43044" w:rsidRDefault="00865DB8">
      <w:pPr>
        <w:rPr>
          <w:rFonts w:ascii="Times New Roman" w:eastAsia="Times New Roman" w:hAnsi="Times New Roman" w:cs="Times New Roman"/>
          <w:sz w:val="24"/>
          <w:szCs w:val="20"/>
          <w:lang w:val="nb-NO" w:eastAsia="nb-NO"/>
        </w:rPr>
      </w:pPr>
      <w:r w:rsidRPr="00B43044">
        <w:rPr>
          <w:rFonts w:ascii="Times New Roman" w:eastAsia="Times New Roman" w:hAnsi="Times New Roman" w:cs="Times New Roman"/>
          <w:sz w:val="24"/>
          <w:szCs w:val="20"/>
          <w:lang w:val="nb-NO" w:eastAsia="nb-NO"/>
        </w:rPr>
        <w:t xml:space="preserve">Det er styrets ansvar å fastsette og sørge for at AlphaSpar har og praktiserer </w:t>
      </w:r>
      <w:r w:rsidR="003E6EBF" w:rsidRPr="00B43044">
        <w:rPr>
          <w:rFonts w:ascii="Times New Roman" w:eastAsia="Times New Roman" w:hAnsi="Times New Roman" w:cs="Times New Roman"/>
          <w:sz w:val="24"/>
          <w:szCs w:val="20"/>
          <w:lang w:val="nb-NO" w:eastAsia="nb-NO"/>
        </w:rPr>
        <w:t xml:space="preserve">retningslinjer og rammer for godgjørelsesordningen i </w:t>
      </w:r>
      <w:r w:rsidR="00CF3870" w:rsidRPr="00B43044">
        <w:rPr>
          <w:rFonts w:ascii="Times New Roman" w:eastAsia="Times New Roman" w:hAnsi="Times New Roman" w:cs="Times New Roman"/>
          <w:sz w:val="24"/>
          <w:szCs w:val="20"/>
          <w:lang w:val="nb-NO" w:eastAsia="nb-NO"/>
        </w:rPr>
        <w:t>AS</w:t>
      </w:r>
      <w:r w:rsidR="003E6EBF" w:rsidRPr="00B43044">
        <w:rPr>
          <w:rFonts w:ascii="Times New Roman" w:eastAsia="Times New Roman" w:hAnsi="Times New Roman" w:cs="Times New Roman"/>
          <w:sz w:val="24"/>
          <w:szCs w:val="20"/>
          <w:lang w:val="nb-NO" w:eastAsia="nb-NO"/>
        </w:rPr>
        <w:t>. Godtgjørelsesordningen skal bidra til å fremme og gi incentiver til god styring og kontroll med risiko på kort og lang sikt.  Ordningen skal ha særskilte regler for lendende ansatte, for andre ansatte og tillitsvalgte med arbeidsoppgaver av vesentlig betydning for foretakets risikoeksponering, og for andre ansatte og tillitsvalgte med kontrolloppgaver</w:t>
      </w:r>
      <w:r w:rsidR="00CE62F8" w:rsidRPr="00B43044">
        <w:rPr>
          <w:rFonts w:ascii="Times New Roman" w:eastAsia="Times New Roman" w:hAnsi="Times New Roman" w:cs="Times New Roman"/>
          <w:sz w:val="24"/>
          <w:szCs w:val="20"/>
          <w:lang w:val="nb-NO" w:eastAsia="nb-NO"/>
        </w:rPr>
        <w:t>.</w:t>
      </w:r>
    </w:p>
    <w:p w14:paraId="333C74C1" w14:textId="5CE308E3" w:rsidR="00CE62F8" w:rsidRPr="00B43044" w:rsidRDefault="00CE62F8">
      <w:pPr>
        <w:rPr>
          <w:rFonts w:ascii="Times New Roman" w:eastAsia="Times New Roman" w:hAnsi="Times New Roman" w:cs="Times New Roman"/>
          <w:sz w:val="24"/>
          <w:szCs w:val="20"/>
          <w:lang w:val="nb-NO" w:eastAsia="nb-NO"/>
        </w:rPr>
      </w:pPr>
      <w:r w:rsidRPr="00B43044">
        <w:rPr>
          <w:rFonts w:ascii="Times New Roman" w:eastAsia="Times New Roman" w:hAnsi="Times New Roman" w:cs="Times New Roman"/>
          <w:sz w:val="24"/>
          <w:szCs w:val="20"/>
          <w:lang w:val="nb-NO" w:eastAsia="nb-NO"/>
        </w:rPr>
        <w:t>Styret skal godkjenne disse retningslinjene.  Styret skal også godkjenne enhver materiell endring eller unntak fra disse retningslinjene, og vurdere/overvåke effektene.</w:t>
      </w:r>
    </w:p>
    <w:p w14:paraId="0CD8C974" w14:textId="448A88D1" w:rsidR="00CE62F8" w:rsidRPr="00B43044" w:rsidRDefault="00CE62F8">
      <w:pPr>
        <w:rPr>
          <w:rFonts w:ascii="Times New Roman" w:eastAsia="Times New Roman" w:hAnsi="Times New Roman" w:cs="Times New Roman"/>
          <w:sz w:val="24"/>
          <w:szCs w:val="20"/>
          <w:lang w:val="nb-NO" w:eastAsia="nb-NO"/>
        </w:rPr>
      </w:pPr>
      <w:r w:rsidRPr="00B43044">
        <w:rPr>
          <w:rFonts w:ascii="Times New Roman" w:eastAsia="Times New Roman" w:hAnsi="Times New Roman" w:cs="Times New Roman"/>
          <w:sz w:val="24"/>
          <w:szCs w:val="20"/>
          <w:lang w:val="nb-NO" w:eastAsia="nb-NO"/>
        </w:rPr>
        <w:t>Styret skal en gang per år revidere retningslinjer samtidig som de får seg forelagt en rapport som dokumenterer en gjennomgang av praktisering av godgjørelses</w:t>
      </w:r>
      <w:r w:rsidR="005E793C" w:rsidRPr="00B43044">
        <w:rPr>
          <w:rFonts w:ascii="Times New Roman" w:eastAsia="Times New Roman" w:hAnsi="Times New Roman" w:cs="Times New Roman"/>
          <w:sz w:val="24"/>
          <w:szCs w:val="20"/>
          <w:lang w:val="nb-NO" w:eastAsia="nb-NO"/>
        </w:rPr>
        <w:t>ordning.</w:t>
      </w:r>
    </w:p>
    <w:p w14:paraId="06A974B4" w14:textId="77777777" w:rsidR="0018482E" w:rsidRDefault="0018482E">
      <w:pPr>
        <w:rPr>
          <w:rFonts w:ascii="Times New Roman" w:eastAsia="Times New Roman" w:hAnsi="Times New Roman" w:cs="Times New Roman"/>
          <w:b/>
          <w:sz w:val="24"/>
          <w:szCs w:val="20"/>
          <w:lang w:val="nb-NO" w:eastAsia="nb-NO"/>
        </w:rPr>
      </w:pPr>
    </w:p>
    <w:p w14:paraId="5BD7655A" w14:textId="0817A498" w:rsidR="00142979" w:rsidRPr="00142979" w:rsidRDefault="00142979">
      <w:pPr>
        <w:rPr>
          <w:rFonts w:ascii="Times New Roman" w:eastAsia="Times New Roman" w:hAnsi="Times New Roman" w:cs="Times New Roman"/>
          <w:b/>
          <w:sz w:val="24"/>
          <w:szCs w:val="20"/>
          <w:lang w:val="nb-NO" w:eastAsia="nb-NO"/>
        </w:rPr>
      </w:pPr>
      <w:r w:rsidRPr="00142979">
        <w:rPr>
          <w:rFonts w:ascii="Times New Roman" w:eastAsia="Times New Roman" w:hAnsi="Times New Roman" w:cs="Times New Roman"/>
          <w:b/>
          <w:sz w:val="24"/>
          <w:szCs w:val="20"/>
          <w:lang w:val="nb-NO" w:eastAsia="nb-NO"/>
        </w:rPr>
        <w:t>Praktiseringen av godtgjørelsesordningen</w:t>
      </w:r>
      <w:r w:rsidR="005E793C">
        <w:rPr>
          <w:rFonts w:ascii="Times New Roman" w:eastAsia="Times New Roman" w:hAnsi="Times New Roman" w:cs="Times New Roman"/>
          <w:b/>
          <w:sz w:val="24"/>
          <w:szCs w:val="20"/>
          <w:lang w:val="nb-NO" w:eastAsia="nb-NO"/>
        </w:rPr>
        <w:t xml:space="preserve"> for perioden 01.01.2</w:t>
      </w:r>
      <w:r w:rsidR="000736D4">
        <w:rPr>
          <w:rFonts w:ascii="Times New Roman" w:eastAsia="Times New Roman" w:hAnsi="Times New Roman" w:cs="Times New Roman"/>
          <w:b/>
          <w:sz w:val="24"/>
          <w:szCs w:val="20"/>
          <w:lang w:val="nb-NO" w:eastAsia="nb-NO"/>
        </w:rPr>
        <w:t>3</w:t>
      </w:r>
      <w:r w:rsidR="005E793C">
        <w:rPr>
          <w:rFonts w:ascii="Times New Roman" w:eastAsia="Times New Roman" w:hAnsi="Times New Roman" w:cs="Times New Roman"/>
          <w:b/>
          <w:sz w:val="24"/>
          <w:szCs w:val="20"/>
          <w:lang w:val="nb-NO" w:eastAsia="nb-NO"/>
        </w:rPr>
        <w:t xml:space="preserve"> til 31.12.2</w:t>
      </w:r>
      <w:r w:rsidR="00B87F51">
        <w:rPr>
          <w:rFonts w:ascii="Times New Roman" w:eastAsia="Times New Roman" w:hAnsi="Times New Roman" w:cs="Times New Roman"/>
          <w:b/>
          <w:sz w:val="24"/>
          <w:szCs w:val="20"/>
          <w:lang w:val="nb-NO" w:eastAsia="nb-NO"/>
        </w:rPr>
        <w:t>3</w:t>
      </w:r>
    </w:p>
    <w:p w14:paraId="71582008" w14:textId="78035120" w:rsidR="00142979" w:rsidRDefault="002E1D77">
      <w:pPr>
        <w:rPr>
          <w:rFonts w:ascii="Times New Roman" w:eastAsia="Times New Roman" w:hAnsi="Times New Roman" w:cs="Times New Roman"/>
          <w:sz w:val="24"/>
          <w:szCs w:val="20"/>
          <w:lang w:val="nb-NO" w:eastAsia="nb-NO"/>
        </w:rPr>
      </w:pPr>
      <w:r w:rsidRPr="00B43044">
        <w:rPr>
          <w:rFonts w:ascii="Times New Roman" w:eastAsia="Times New Roman" w:hAnsi="Times New Roman" w:cs="Times New Roman"/>
          <w:sz w:val="24"/>
          <w:szCs w:val="20"/>
          <w:lang w:val="nb-NO" w:eastAsia="nb-NO"/>
        </w:rPr>
        <w:t>AlphaSpar</w:t>
      </w:r>
      <w:r>
        <w:rPr>
          <w:rFonts w:ascii="Times New Roman" w:eastAsia="Times New Roman" w:hAnsi="Times New Roman" w:cs="Times New Roman"/>
          <w:sz w:val="24"/>
          <w:szCs w:val="20"/>
          <w:lang w:val="nb-NO" w:eastAsia="nb-NO"/>
        </w:rPr>
        <w:t xml:space="preserve"> </w:t>
      </w:r>
      <w:r w:rsidR="00142979">
        <w:rPr>
          <w:rFonts w:ascii="Times New Roman" w:eastAsia="Times New Roman" w:hAnsi="Times New Roman" w:cs="Times New Roman"/>
          <w:sz w:val="24"/>
          <w:szCs w:val="20"/>
          <w:lang w:val="nb-NO" w:eastAsia="nb-NO"/>
        </w:rPr>
        <w:t xml:space="preserve">har utarbeidet en instruks om selskapets godtgjørelsesordning samt en godtgjørelsespolicy. I godtgjørelsespolicy har selskapet definert hvilke grupper av ansatte som skal anses </w:t>
      </w:r>
      <w:r w:rsidR="00142979" w:rsidRPr="00142979">
        <w:rPr>
          <w:rFonts w:ascii="Times New Roman" w:eastAsia="Times New Roman" w:hAnsi="Times New Roman" w:cs="Times New Roman"/>
          <w:sz w:val="24"/>
          <w:szCs w:val="20"/>
          <w:lang w:val="nb-NO" w:eastAsia="nb-NO"/>
        </w:rPr>
        <w:t>som ledende ansatte, ansatte med arbeidsoppgaver av betydning for foretakets risikoeksponering, og ansatte med kontrolloppgaver.</w:t>
      </w:r>
    </w:p>
    <w:p w14:paraId="3D17AE99" w14:textId="77777777" w:rsidR="0018482E" w:rsidRDefault="0018482E">
      <w:pPr>
        <w:rPr>
          <w:rFonts w:ascii="Times New Roman" w:eastAsia="Times New Roman" w:hAnsi="Times New Roman" w:cs="Times New Roman"/>
          <w:sz w:val="24"/>
          <w:szCs w:val="20"/>
          <w:lang w:val="nb-NO" w:eastAsia="nb-NO"/>
        </w:rPr>
      </w:pPr>
      <w:r>
        <w:rPr>
          <w:rFonts w:ascii="Times New Roman" w:eastAsia="Times New Roman" w:hAnsi="Times New Roman" w:cs="Times New Roman"/>
          <w:sz w:val="24"/>
          <w:szCs w:val="20"/>
          <w:lang w:val="nb-NO" w:eastAsia="nb-NO"/>
        </w:rPr>
        <w:br w:type="page"/>
      </w:r>
    </w:p>
    <w:p w14:paraId="5CD1DA26" w14:textId="0029A085" w:rsidR="00142979" w:rsidRDefault="00142979">
      <w:pPr>
        <w:rPr>
          <w:rFonts w:ascii="Times New Roman" w:eastAsia="Times New Roman" w:hAnsi="Times New Roman" w:cs="Times New Roman"/>
          <w:sz w:val="24"/>
          <w:szCs w:val="20"/>
          <w:lang w:val="nb-NO" w:eastAsia="nb-NO"/>
        </w:rPr>
      </w:pPr>
      <w:r>
        <w:rPr>
          <w:rFonts w:ascii="Times New Roman" w:eastAsia="Times New Roman" w:hAnsi="Times New Roman" w:cs="Times New Roman"/>
          <w:sz w:val="24"/>
          <w:szCs w:val="20"/>
          <w:lang w:val="nb-NO" w:eastAsia="nb-NO"/>
        </w:rPr>
        <w:lastRenderedPageBreak/>
        <w:t xml:space="preserve">De stillinger som er definert innen </w:t>
      </w:r>
      <w:r w:rsidR="00265970">
        <w:rPr>
          <w:rFonts w:ascii="Times New Roman" w:eastAsia="Times New Roman" w:hAnsi="Times New Roman" w:cs="Times New Roman"/>
          <w:sz w:val="24"/>
          <w:szCs w:val="20"/>
          <w:lang w:val="nb-NO" w:eastAsia="nb-NO"/>
        </w:rPr>
        <w:t xml:space="preserve">ledende ansatte og ansatte med arbeidsoppgaver av betydning for selskapets risikoeksponering har bonusavtaler hvor utbetalingsperioden går over til sammen </w:t>
      </w:r>
      <w:r w:rsidR="0018482E">
        <w:rPr>
          <w:rFonts w:ascii="Times New Roman" w:eastAsia="Times New Roman" w:hAnsi="Times New Roman" w:cs="Times New Roman"/>
          <w:sz w:val="24"/>
          <w:szCs w:val="20"/>
          <w:lang w:val="nb-NO" w:eastAsia="nb-NO"/>
        </w:rPr>
        <w:t xml:space="preserve"> </w:t>
      </w:r>
      <w:r w:rsidR="00265970">
        <w:rPr>
          <w:rFonts w:ascii="Times New Roman" w:eastAsia="Times New Roman" w:hAnsi="Times New Roman" w:cs="Times New Roman"/>
          <w:sz w:val="24"/>
          <w:szCs w:val="20"/>
          <w:lang w:val="nb-NO" w:eastAsia="nb-NO"/>
        </w:rPr>
        <w:t>4 år.  Ansatte med kontrollansvar</w:t>
      </w:r>
      <w:r>
        <w:rPr>
          <w:rFonts w:ascii="Times New Roman" w:eastAsia="Times New Roman" w:hAnsi="Times New Roman" w:cs="Times New Roman"/>
          <w:sz w:val="24"/>
          <w:szCs w:val="20"/>
          <w:lang w:val="nb-NO" w:eastAsia="nb-NO"/>
        </w:rPr>
        <w:t xml:space="preserve"> mottar kun godtgjørelse i form av fast lønn. Selskapet har således etterlevd kraven</w:t>
      </w:r>
      <w:r w:rsidR="00183101">
        <w:rPr>
          <w:rFonts w:ascii="Times New Roman" w:eastAsia="Times New Roman" w:hAnsi="Times New Roman" w:cs="Times New Roman"/>
          <w:sz w:val="24"/>
          <w:szCs w:val="20"/>
          <w:lang w:val="nb-NO" w:eastAsia="nb-NO"/>
        </w:rPr>
        <w:t>e</w:t>
      </w:r>
      <w:r>
        <w:rPr>
          <w:rFonts w:ascii="Times New Roman" w:eastAsia="Times New Roman" w:hAnsi="Times New Roman" w:cs="Times New Roman"/>
          <w:sz w:val="24"/>
          <w:szCs w:val="20"/>
          <w:lang w:val="nb-NO" w:eastAsia="nb-NO"/>
        </w:rPr>
        <w:t xml:space="preserve"> i g</w:t>
      </w:r>
      <w:r w:rsidRPr="00142979">
        <w:rPr>
          <w:rFonts w:ascii="Times New Roman" w:eastAsia="Times New Roman" w:hAnsi="Times New Roman" w:cs="Times New Roman"/>
          <w:sz w:val="24"/>
          <w:szCs w:val="20"/>
          <w:lang w:val="nb-NO" w:eastAsia="nb-NO"/>
        </w:rPr>
        <w:t>odtgjørelsesforskriften</w:t>
      </w:r>
      <w:r>
        <w:rPr>
          <w:rFonts w:ascii="Times New Roman" w:eastAsia="Times New Roman" w:hAnsi="Times New Roman" w:cs="Times New Roman"/>
          <w:sz w:val="24"/>
          <w:szCs w:val="20"/>
          <w:lang w:val="nb-NO" w:eastAsia="nb-NO"/>
        </w:rPr>
        <w:t>.</w:t>
      </w:r>
    </w:p>
    <w:p w14:paraId="46EFB882" w14:textId="0A10968B" w:rsidR="001556AD" w:rsidRPr="00B43044" w:rsidRDefault="001556AD" w:rsidP="001556AD">
      <w:pPr>
        <w:rPr>
          <w:rFonts w:ascii="Times New Roman" w:eastAsia="Times New Roman" w:hAnsi="Times New Roman" w:cs="Times New Roman"/>
          <w:sz w:val="24"/>
          <w:szCs w:val="20"/>
          <w:lang w:val="nb-NO" w:eastAsia="nb-NO"/>
        </w:rPr>
      </w:pPr>
      <w:r w:rsidRPr="00B43044">
        <w:rPr>
          <w:rFonts w:ascii="Times New Roman" w:eastAsia="Times New Roman" w:hAnsi="Times New Roman" w:cs="Times New Roman"/>
          <w:sz w:val="24"/>
          <w:szCs w:val="20"/>
          <w:lang w:val="nb-NO" w:eastAsia="nb-NO"/>
        </w:rPr>
        <w:t xml:space="preserve">AS har etablert visse hovedprinsipper for foretakets godtgjørelsesstrategi. Prinsippene gjelder generelt, men vil ha ulik anvendelse på de forskjellige godtgjørelsesordninger, </w:t>
      </w:r>
      <w:r w:rsidR="0018482E">
        <w:rPr>
          <w:rFonts w:ascii="Times New Roman" w:eastAsia="Times New Roman" w:hAnsi="Times New Roman" w:cs="Times New Roman"/>
          <w:sz w:val="24"/>
          <w:szCs w:val="20"/>
          <w:lang w:val="nb-NO" w:eastAsia="nb-NO"/>
        </w:rPr>
        <w:t>v</w:t>
      </w:r>
      <w:r w:rsidRPr="00B43044">
        <w:rPr>
          <w:rFonts w:ascii="Times New Roman" w:eastAsia="Times New Roman" w:hAnsi="Times New Roman" w:cs="Times New Roman"/>
          <w:sz w:val="24"/>
          <w:szCs w:val="20"/>
          <w:lang w:val="nb-NO" w:eastAsia="nb-NO"/>
        </w:rPr>
        <w:t>irksomhetsområder og stillingskategorier. Hovedprinsippene for foretakets godtgjørelsesstrategi skal være:</w:t>
      </w:r>
    </w:p>
    <w:p w14:paraId="7586262B" w14:textId="77777777" w:rsidR="001556AD" w:rsidRPr="00B43044" w:rsidRDefault="001556AD" w:rsidP="001556AD">
      <w:pPr>
        <w:numPr>
          <w:ilvl w:val="0"/>
          <w:numId w:val="1"/>
        </w:numPr>
        <w:overflowPunct w:val="0"/>
        <w:autoSpaceDE w:val="0"/>
        <w:autoSpaceDN w:val="0"/>
        <w:adjustRightInd w:val="0"/>
        <w:spacing w:after="180" w:line="240" w:lineRule="auto"/>
        <w:jc w:val="both"/>
        <w:textAlignment w:val="baseline"/>
        <w:rPr>
          <w:rFonts w:ascii="Times New Roman" w:eastAsia="Times New Roman" w:hAnsi="Times New Roman" w:cs="Times New Roman"/>
          <w:sz w:val="24"/>
          <w:szCs w:val="20"/>
          <w:lang w:val="nb-NO" w:eastAsia="nb-NO"/>
        </w:rPr>
      </w:pPr>
      <w:r w:rsidRPr="00B43044">
        <w:rPr>
          <w:rFonts w:ascii="Times New Roman" w:eastAsia="Times New Roman" w:hAnsi="Times New Roman" w:cs="Times New Roman"/>
          <w:sz w:val="24"/>
          <w:szCs w:val="20"/>
          <w:lang w:val="nb-NO" w:eastAsia="nb-NO"/>
        </w:rPr>
        <w:t>Godtgjørelsesordningen skal bidra til å fremme foretakets langsiktige evne til å fremme finansielle tjenester og produkter på konkurransedyktige vilkår, for selskapets kundemålgrupper.</w:t>
      </w:r>
    </w:p>
    <w:p w14:paraId="367342BF" w14:textId="77777777" w:rsidR="001556AD" w:rsidRDefault="001556AD" w:rsidP="001556AD">
      <w:pPr>
        <w:numPr>
          <w:ilvl w:val="0"/>
          <w:numId w:val="1"/>
        </w:numPr>
        <w:overflowPunct w:val="0"/>
        <w:autoSpaceDE w:val="0"/>
        <w:autoSpaceDN w:val="0"/>
        <w:adjustRightInd w:val="0"/>
        <w:spacing w:after="180" w:line="240" w:lineRule="auto"/>
        <w:jc w:val="both"/>
        <w:textAlignment w:val="baseline"/>
        <w:rPr>
          <w:rFonts w:ascii="Times New Roman" w:eastAsia="Times New Roman" w:hAnsi="Times New Roman" w:cs="Times New Roman"/>
          <w:sz w:val="24"/>
          <w:szCs w:val="20"/>
          <w:lang w:val="nb-NO" w:eastAsia="nb-NO"/>
        </w:rPr>
      </w:pPr>
      <w:r w:rsidRPr="00B43044">
        <w:rPr>
          <w:rFonts w:ascii="Times New Roman" w:eastAsia="Times New Roman" w:hAnsi="Times New Roman" w:cs="Times New Roman"/>
          <w:sz w:val="24"/>
          <w:szCs w:val="20"/>
          <w:lang w:val="nb-NO" w:eastAsia="nb-NO"/>
        </w:rPr>
        <w:t>Godtgjørelsesordningen skal belønne måloppnåelse på individuelt nivå, enhetsnivå, foretaksnivå og motivere til langsiktig interessefellesskap mellom foretaket, den enkelte kunde og den ansatte.</w:t>
      </w:r>
    </w:p>
    <w:p w14:paraId="7ED46E6D" w14:textId="5D3DF1B6" w:rsidR="001556AD" w:rsidRPr="00F05FD0" w:rsidRDefault="001556AD" w:rsidP="001556AD">
      <w:pPr>
        <w:numPr>
          <w:ilvl w:val="0"/>
          <w:numId w:val="1"/>
        </w:numPr>
        <w:overflowPunct w:val="0"/>
        <w:autoSpaceDE w:val="0"/>
        <w:autoSpaceDN w:val="0"/>
        <w:adjustRightInd w:val="0"/>
        <w:spacing w:after="180" w:line="240" w:lineRule="auto"/>
        <w:jc w:val="both"/>
        <w:textAlignment w:val="baseline"/>
        <w:rPr>
          <w:rFonts w:ascii="Times New Roman" w:eastAsia="Times New Roman" w:hAnsi="Times New Roman" w:cs="Times New Roman"/>
          <w:sz w:val="24"/>
          <w:szCs w:val="20"/>
          <w:lang w:val="nb-NO" w:eastAsia="nb-NO"/>
        </w:rPr>
      </w:pPr>
      <w:r w:rsidRPr="00F05FD0">
        <w:rPr>
          <w:rFonts w:ascii="Times New Roman" w:eastAsia="Times New Roman" w:hAnsi="Times New Roman" w:cs="Times New Roman"/>
          <w:sz w:val="24"/>
          <w:szCs w:val="20"/>
          <w:lang w:val="nb-NO" w:eastAsia="nb-NO"/>
        </w:rPr>
        <w:t xml:space="preserve">Godtgjørelsesordningen </w:t>
      </w:r>
      <w:r w:rsidR="004A6236" w:rsidRPr="00F05FD0">
        <w:rPr>
          <w:rFonts w:ascii="Times New Roman" w:eastAsia="Times New Roman" w:hAnsi="Times New Roman" w:cs="Times New Roman"/>
          <w:sz w:val="24"/>
          <w:szCs w:val="20"/>
          <w:lang w:val="nb-NO" w:eastAsia="nb-NO"/>
        </w:rPr>
        <w:t xml:space="preserve">tar hensyn til bærekraftrisiko og </w:t>
      </w:r>
      <w:r w:rsidRPr="00F05FD0">
        <w:rPr>
          <w:rFonts w:ascii="Times New Roman" w:eastAsia="Times New Roman" w:hAnsi="Times New Roman" w:cs="Times New Roman"/>
          <w:sz w:val="24"/>
          <w:szCs w:val="20"/>
          <w:lang w:val="nb-NO" w:eastAsia="nb-NO"/>
        </w:rPr>
        <w:t>skal bidra til å fremme og gi incentiver til god styring av og kontroll med risiko og motvirke risikotaking i strid med fastsatte forvaltningsmandat og rammer.</w:t>
      </w:r>
      <w:r w:rsidR="004A6236" w:rsidRPr="00F05FD0">
        <w:rPr>
          <w:rFonts w:ascii="Times New Roman" w:eastAsia="Times New Roman" w:hAnsi="Times New Roman" w:cs="Times New Roman"/>
          <w:color w:val="FF0000"/>
          <w:sz w:val="24"/>
          <w:szCs w:val="20"/>
          <w:lang w:val="nb-NO" w:eastAsia="nb-NO"/>
        </w:rPr>
        <w:t xml:space="preserve"> </w:t>
      </w:r>
      <w:r w:rsidR="004A6236" w:rsidRPr="00F05FD0">
        <w:rPr>
          <w:rFonts w:ascii="Times New Roman" w:eastAsia="Times New Roman" w:hAnsi="Times New Roman" w:cs="Times New Roman"/>
          <w:sz w:val="24"/>
          <w:szCs w:val="20"/>
          <w:lang w:val="nb-NO" w:eastAsia="nb-NO"/>
        </w:rPr>
        <w:t xml:space="preserve">Integrering av </w:t>
      </w:r>
      <w:r w:rsidR="00F05FD0" w:rsidRPr="00F05FD0">
        <w:rPr>
          <w:rFonts w:ascii="Times New Roman" w:eastAsia="Times New Roman" w:hAnsi="Times New Roman" w:cs="Times New Roman"/>
          <w:sz w:val="24"/>
          <w:szCs w:val="20"/>
          <w:lang w:val="nb-NO" w:eastAsia="nb-NO"/>
        </w:rPr>
        <w:t>bærekraftsrisiko</w:t>
      </w:r>
      <w:r w:rsidR="004A6236" w:rsidRPr="00F05FD0">
        <w:rPr>
          <w:rFonts w:ascii="Times New Roman" w:eastAsia="Times New Roman" w:hAnsi="Times New Roman" w:cs="Times New Roman"/>
          <w:sz w:val="24"/>
          <w:szCs w:val="20"/>
          <w:lang w:val="nb-NO" w:eastAsia="nb-NO"/>
        </w:rPr>
        <w:t xml:space="preserve"> er en del av den totale risikovurderingen </w:t>
      </w:r>
      <w:r w:rsidR="00F05FD0" w:rsidRPr="00F05FD0">
        <w:rPr>
          <w:rFonts w:ascii="Times New Roman" w:eastAsia="Times New Roman" w:hAnsi="Times New Roman" w:cs="Times New Roman"/>
          <w:sz w:val="24"/>
          <w:szCs w:val="20"/>
          <w:lang w:val="nb-NO" w:eastAsia="nb-NO"/>
        </w:rPr>
        <w:t xml:space="preserve">i vår forvalting og investeringsrådgiving. </w:t>
      </w:r>
    </w:p>
    <w:p w14:paraId="369D5205" w14:textId="77777777" w:rsidR="001556AD" w:rsidRDefault="001556AD" w:rsidP="001556AD">
      <w:pPr>
        <w:numPr>
          <w:ilvl w:val="0"/>
          <w:numId w:val="1"/>
        </w:numPr>
        <w:overflowPunct w:val="0"/>
        <w:autoSpaceDE w:val="0"/>
        <w:autoSpaceDN w:val="0"/>
        <w:adjustRightInd w:val="0"/>
        <w:spacing w:after="180" w:line="240" w:lineRule="auto"/>
        <w:jc w:val="both"/>
        <w:textAlignment w:val="baseline"/>
        <w:rPr>
          <w:rFonts w:ascii="Times New Roman" w:eastAsia="Times New Roman" w:hAnsi="Times New Roman" w:cs="Times New Roman"/>
          <w:sz w:val="24"/>
          <w:szCs w:val="20"/>
          <w:lang w:val="nb-NO" w:eastAsia="nb-NO"/>
        </w:rPr>
      </w:pPr>
      <w:r w:rsidRPr="00B43044">
        <w:rPr>
          <w:rFonts w:ascii="Times New Roman" w:eastAsia="Times New Roman" w:hAnsi="Times New Roman" w:cs="Times New Roman"/>
          <w:sz w:val="24"/>
          <w:szCs w:val="20"/>
          <w:lang w:val="nb-NO" w:eastAsia="nb-NO"/>
        </w:rPr>
        <w:t>Godtgjørelsesordningen skal være i samsvar med gjeldende eksternt og internt regelverk så vel som foretakets prinsipper for god eierstyring og selskapsledelse</w:t>
      </w:r>
    </w:p>
    <w:p w14:paraId="02556307" w14:textId="2ECB8A2E" w:rsidR="00CF3870" w:rsidRPr="00B43044" w:rsidRDefault="002E1D77" w:rsidP="00CF3870">
      <w:pPr>
        <w:rPr>
          <w:rFonts w:ascii="Times New Roman" w:eastAsia="Times New Roman" w:hAnsi="Times New Roman" w:cs="Times New Roman"/>
          <w:sz w:val="24"/>
          <w:szCs w:val="20"/>
          <w:lang w:val="nb-NO" w:eastAsia="nb-NO"/>
        </w:rPr>
      </w:pPr>
      <w:r w:rsidRPr="00B43044">
        <w:rPr>
          <w:rFonts w:ascii="Times New Roman" w:eastAsia="Times New Roman" w:hAnsi="Times New Roman" w:cs="Times New Roman"/>
          <w:sz w:val="24"/>
          <w:szCs w:val="20"/>
          <w:lang w:val="nb-NO" w:eastAsia="nb-NO"/>
        </w:rPr>
        <w:t>AlphaSpar</w:t>
      </w:r>
      <w:r w:rsidR="00CF3870" w:rsidRPr="00B43044">
        <w:rPr>
          <w:rFonts w:ascii="Times New Roman" w:eastAsia="Times New Roman" w:hAnsi="Times New Roman" w:cs="Times New Roman"/>
          <w:sz w:val="24"/>
          <w:szCs w:val="20"/>
          <w:lang w:val="nb-NO" w:eastAsia="nb-NO"/>
        </w:rPr>
        <w:t xml:space="preserve"> har følgende ordninger for variabel godtgjørelse til sine ansatte:</w:t>
      </w:r>
    </w:p>
    <w:p w14:paraId="20C4C5F8" w14:textId="77777777" w:rsidR="00CF3870" w:rsidRPr="00B43044" w:rsidRDefault="00CF3870" w:rsidP="00CF3870">
      <w:pPr>
        <w:numPr>
          <w:ilvl w:val="0"/>
          <w:numId w:val="2"/>
        </w:numPr>
        <w:spacing w:after="0" w:line="240" w:lineRule="auto"/>
        <w:rPr>
          <w:rFonts w:ascii="Times New Roman" w:eastAsia="Times New Roman" w:hAnsi="Times New Roman" w:cs="Times New Roman"/>
          <w:sz w:val="24"/>
          <w:szCs w:val="20"/>
          <w:lang w:val="nb-NO" w:eastAsia="nb-NO"/>
        </w:rPr>
      </w:pPr>
      <w:r w:rsidRPr="00B43044">
        <w:rPr>
          <w:rFonts w:ascii="Times New Roman" w:eastAsia="Times New Roman" w:hAnsi="Times New Roman" w:cs="Times New Roman"/>
          <w:sz w:val="24"/>
          <w:szCs w:val="20"/>
          <w:lang w:val="nb-NO" w:eastAsia="nb-NO"/>
        </w:rPr>
        <w:t>Individuell bonus</w:t>
      </w:r>
    </w:p>
    <w:p w14:paraId="37EB82B1" w14:textId="77777777" w:rsidR="00CF3870" w:rsidRDefault="00CF3870" w:rsidP="00CF3870">
      <w:pPr>
        <w:numPr>
          <w:ilvl w:val="0"/>
          <w:numId w:val="2"/>
        </w:numPr>
        <w:spacing w:after="0" w:line="240" w:lineRule="auto"/>
        <w:rPr>
          <w:rFonts w:ascii="Times New Roman" w:eastAsia="Times New Roman" w:hAnsi="Times New Roman" w:cs="Times New Roman"/>
          <w:sz w:val="24"/>
          <w:szCs w:val="20"/>
          <w:lang w:val="nb-NO" w:eastAsia="nb-NO"/>
        </w:rPr>
      </w:pPr>
      <w:r w:rsidRPr="00B43044">
        <w:rPr>
          <w:rFonts w:ascii="Times New Roman" w:eastAsia="Times New Roman" w:hAnsi="Times New Roman" w:cs="Times New Roman"/>
          <w:sz w:val="24"/>
          <w:szCs w:val="20"/>
          <w:lang w:val="nb-NO" w:eastAsia="nb-NO"/>
        </w:rPr>
        <w:t>Overskuddsdeling</w:t>
      </w:r>
    </w:p>
    <w:p w14:paraId="6DB1B079" w14:textId="77777777" w:rsidR="002E1D77" w:rsidRPr="00B43044" w:rsidRDefault="002E1D77" w:rsidP="002E1D77">
      <w:pPr>
        <w:spacing w:after="0" w:line="240" w:lineRule="auto"/>
        <w:ind w:left="1137"/>
        <w:rPr>
          <w:rFonts w:ascii="Times New Roman" w:eastAsia="Times New Roman" w:hAnsi="Times New Roman" w:cs="Times New Roman"/>
          <w:sz w:val="24"/>
          <w:szCs w:val="20"/>
          <w:lang w:val="nb-NO" w:eastAsia="nb-NO"/>
        </w:rPr>
      </w:pPr>
    </w:p>
    <w:p w14:paraId="01BC63C9" w14:textId="12FB1B1A" w:rsidR="00CF3870" w:rsidRDefault="00CF3870">
      <w:pPr>
        <w:rPr>
          <w:rFonts w:ascii="Times New Roman" w:eastAsia="Times New Roman" w:hAnsi="Times New Roman" w:cs="Times New Roman"/>
          <w:sz w:val="24"/>
          <w:szCs w:val="20"/>
          <w:lang w:val="nb-NO" w:eastAsia="nb-NO"/>
        </w:rPr>
      </w:pPr>
      <w:r>
        <w:rPr>
          <w:rFonts w:ascii="Times New Roman" w:eastAsia="Times New Roman" w:hAnsi="Times New Roman" w:cs="Times New Roman"/>
          <w:sz w:val="24"/>
          <w:szCs w:val="20"/>
          <w:lang w:val="nb-NO" w:eastAsia="nb-NO"/>
        </w:rPr>
        <w:t xml:space="preserve">I forbindelse med bonusordningene er det utarbeidet softkriterier som det tas hensyn til i forbindelse med </w:t>
      </w:r>
      <w:r w:rsidR="0090039C">
        <w:rPr>
          <w:rFonts w:ascii="Times New Roman" w:eastAsia="Times New Roman" w:hAnsi="Times New Roman" w:cs="Times New Roman"/>
          <w:sz w:val="24"/>
          <w:szCs w:val="20"/>
          <w:lang w:val="nb-NO" w:eastAsia="nb-NO"/>
        </w:rPr>
        <w:t xml:space="preserve">opptjening av bonus.  Oppnåelsen kontrolleres av </w:t>
      </w:r>
      <w:proofErr w:type="spellStart"/>
      <w:r w:rsidR="0090039C">
        <w:rPr>
          <w:rFonts w:ascii="Times New Roman" w:eastAsia="Times New Roman" w:hAnsi="Times New Roman" w:cs="Times New Roman"/>
          <w:sz w:val="24"/>
          <w:szCs w:val="20"/>
          <w:lang w:val="nb-NO" w:eastAsia="nb-NO"/>
        </w:rPr>
        <w:t>compliance</w:t>
      </w:r>
      <w:proofErr w:type="spellEnd"/>
      <w:r w:rsidR="0090039C">
        <w:rPr>
          <w:rFonts w:ascii="Times New Roman" w:eastAsia="Times New Roman" w:hAnsi="Times New Roman" w:cs="Times New Roman"/>
          <w:sz w:val="24"/>
          <w:szCs w:val="20"/>
          <w:lang w:val="nb-NO" w:eastAsia="nb-NO"/>
        </w:rPr>
        <w:t xml:space="preserve"> og er en del av anbefalingen som gis til styret.</w:t>
      </w:r>
    </w:p>
    <w:p w14:paraId="5BB8B7AB" w14:textId="2EBDC899" w:rsidR="00265970" w:rsidRDefault="00265970">
      <w:pPr>
        <w:rPr>
          <w:rFonts w:ascii="Times New Roman" w:eastAsia="Times New Roman" w:hAnsi="Times New Roman" w:cs="Times New Roman"/>
          <w:sz w:val="24"/>
          <w:szCs w:val="20"/>
          <w:lang w:val="nb-NO" w:eastAsia="nb-NO"/>
        </w:rPr>
      </w:pPr>
      <w:r>
        <w:rPr>
          <w:rFonts w:ascii="Times New Roman" w:eastAsia="Times New Roman" w:hAnsi="Times New Roman" w:cs="Times New Roman"/>
          <w:sz w:val="24"/>
          <w:szCs w:val="20"/>
          <w:lang w:val="nb-NO" w:eastAsia="nb-NO"/>
        </w:rPr>
        <w:t>Bonusavtale revideres og godkjennes årlig av styret.</w:t>
      </w:r>
    </w:p>
    <w:p w14:paraId="41C5569F" w14:textId="2F953B60" w:rsidR="00265970" w:rsidRDefault="00265970">
      <w:pPr>
        <w:rPr>
          <w:rFonts w:ascii="Times New Roman" w:eastAsia="Times New Roman" w:hAnsi="Times New Roman" w:cs="Times New Roman"/>
          <w:sz w:val="24"/>
          <w:szCs w:val="20"/>
          <w:lang w:val="nb-NO" w:eastAsia="nb-NO"/>
        </w:rPr>
      </w:pPr>
      <w:r>
        <w:rPr>
          <w:rFonts w:ascii="Times New Roman" w:eastAsia="Times New Roman" w:hAnsi="Times New Roman" w:cs="Times New Roman"/>
          <w:sz w:val="24"/>
          <w:szCs w:val="20"/>
          <w:lang w:val="nb-NO" w:eastAsia="nb-NO"/>
        </w:rPr>
        <w:t>Det har ikke i perioden vært utbetalt eller gitt godtgjørelse utenom det som er regulert i henhold til</w:t>
      </w:r>
      <w:r w:rsidR="0081570A">
        <w:rPr>
          <w:rFonts w:ascii="Times New Roman" w:eastAsia="Times New Roman" w:hAnsi="Times New Roman" w:cs="Times New Roman"/>
          <w:sz w:val="24"/>
          <w:szCs w:val="20"/>
          <w:lang w:val="nb-NO" w:eastAsia="nb-NO"/>
        </w:rPr>
        <w:t xml:space="preserve"> godtgjørelsesordningen.</w:t>
      </w:r>
    </w:p>
    <w:p w14:paraId="21E2D2A6" w14:textId="77777777" w:rsidR="00FA1E85" w:rsidRPr="009C1771" w:rsidRDefault="00FA1E85">
      <w:pPr>
        <w:rPr>
          <w:rFonts w:ascii="Times New Roman" w:eastAsia="Times New Roman" w:hAnsi="Times New Roman" w:cs="Times New Roman"/>
          <w:sz w:val="24"/>
          <w:szCs w:val="20"/>
          <w:lang w:val="nb-NO" w:eastAsia="nb-NO"/>
        </w:rPr>
      </w:pPr>
    </w:p>
    <w:p w14:paraId="53387352" w14:textId="23A0DE78" w:rsidR="0090039C" w:rsidRPr="005D276C" w:rsidRDefault="0090039C">
      <w:pPr>
        <w:rPr>
          <w:rFonts w:ascii="Times New Roman" w:eastAsia="Times New Roman" w:hAnsi="Times New Roman" w:cs="Times New Roman"/>
          <w:sz w:val="24"/>
          <w:szCs w:val="20"/>
          <w:lang w:val="da-DK" w:eastAsia="nb-NO"/>
        </w:rPr>
      </w:pPr>
      <w:r w:rsidRPr="005D276C">
        <w:rPr>
          <w:rFonts w:ascii="Times New Roman" w:eastAsia="Times New Roman" w:hAnsi="Times New Roman" w:cs="Times New Roman"/>
          <w:sz w:val="24"/>
          <w:szCs w:val="20"/>
          <w:lang w:val="da-DK" w:eastAsia="nb-NO"/>
        </w:rPr>
        <w:t xml:space="preserve">Oslo, </w:t>
      </w:r>
      <w:r w:rsidR="00722CA8">
        <w:rPr>
          <w:rFonts w:ascii="Times New Roman" w:eastAsia="Times New Roman" w:hAnsi="Times New Roman" w:cs="Times New Roman"/>
          <w:sz w:val="24"/>
          <w:szCs w:val="20"/>
          <w:lang w:val="da-DK" w:eastAsia="nb-NO"/>
        </w:rPr>
        <w:t>01</w:t>
      </w:r>
      <w:r w:rsidRPr="005D276C">
        <w:rPr>
          <w:rFonts w:ascii="Times New Roman" w:eastAsia="Times New Roman" w:hAnsi="Times New Roman" w:cs="Times New Roman"/>
          <w:sz w:val="24"/>
          <w:szCs w:val="20"/>
          <w:lang w:val="da-DK" w:eastAsia="nb-NO"/>
        </w:rPr>
        <w:t>.0</w:t>
      </w:r>
      <w:r w:rsidR="00722CA8">
        <w:rPr>
          <w:rFonts w:ascii="Times New Roman" w:eastAsia="Times New Roman" w:hAnsi="Times New Roman" w:cs="Times New Roman"/>
          <w:sz w:val="24"/>
          <w:szCs w:val="20"/>
          <w:lang w:val="da-DK" w:eastAsia="nb-NO"/>
        </w:rPr>
        <w:t>3</w:t>
      </w:r>
      <w:r w:rsidRPr="005D276C">
        <w:rPr>
          <w:rFonts w:ascii="Times New Roman" w:eastAsia="Times New Roman" w:hAnsi="Times New Roman" w:cs="Times New Roman"/>
          <w:sz w:val="24"/>
          <w:szCs w:val="20"/>
          <w:lang w:val="da-DK" w:eastAsia="nb-NO"/>
        </w:rPr>
        <w:t>.2</w:t>
      </w:r>
      <w:r w:rsidR="002E1D77">
        <w:rPr>
          <w:rFonts w:ascii="Times New Roman" w:eastAsia="Times New Roman" w:hAnsi="Times New Roman" w:cs="Times New Roman"/>
          <w:sz w:val="24"/>
          <w:szCs w:val="20"/>
          <w:lang w:val="da-DK" w:eastAsia="nb-NO"/>
        </w:rPr>
        <w:t>4</w:t>
      </w:r>
    </w:p>
    <w:p w14:paraId="014A84D6" w14:textId="77777777" w:rsidR="00FA1E85" w:rsidRDefault="00FA1E85" w:rsidP="005D276C">
      <w:pPr>
        <w:spacing w:after="0"/>
        <w:rPr>
          <w:rFonts w:ascii="Times New Roman" w:eastAsia="Times New Roman" w:hAnsi="Times New Roman" w:cs="Times New Roman"/>
          <w:sz w:val="24"/>
          <w:szCs w:val="20"/>
          <w:lang w:val="da-DK" w:eastAsia="nb-NO"/>
        </w:rPr>
      </w:pPr>
    </w:p>
    <w:p w14:paraId="2B30BB74" w14:textId="7AB8CC47" w:rsidR="00142979" w:rsidRPr="005D276C" w:rsidRDefault="0090039C" w:rsidP="005D276C">
      <w:pPr>
        <w:spacing w:after="0"/>
        <w:rPr>
          <w:rFonts w:ascii="Times New Roman" w:eastAsia="Times New Roman" w:hAnsi="Times New Roman" w:cs="Times New Roman"/>
          <w:sz w:val="24"/>
          <w:szCs w:val="20"/>
          <w:lang w:val="da-DK" w:eastAsia="nb-NO"/>
        </w:rPr>
      </w:pPr>
      <w:r w:rsidRPr="005D276C">
        <w:rPr>
          <w:rFonts w:ascii="Times New Roman" w:eastAsia="Times New Roman" w:hAnsi="Times New Roman" w:cs="Times New Roman"/>
          <w:sz w:val="24"/>
          <w:szCs w:val="20"/>
          <w:lang w:val="da-DK" w:eastAsia="nb-NO"/>
        </w:rPr>
        <w:t>Tor Erik Mørk</w:t>
      </w:r>
      <w:r w:rsidR="005D276C">
        <w:rPr>
          <w:rFonts w:ascii="Times New Roman" w:eastAsia="Times New Roman" w:hAnsi="Times New Roman" w:cs="Times New Roman"/>
          <w:sz w:val="24"/>
          <w:szCs w:val="20"/>
          <w:lang w:val="da-DK" w:eastAsia="nb-NO"/>
        </w:rPr>
        <w:t xml:space="preserve"> (sign)</w:t>
      </w:r>
      <w:r w:rsidR="002E1D77">
        <w:rPr>
          <w:rFonts w:ascii="Times New Roman" w:eastAsia="Times New Roman" w:hAnsi="Times New Roman" w:cs="Times New Roman"/>
          <w:sz w:val="24"/>
          <w:szCs w:val="20"/>
          <w:lang w:val="da-DK" w:eastAsia="nb-NO"/>
        </w:rPr>
        <w:t xml:space="preserve"> </w:t>
      </w:r>
      <w:r w:rsidRPr="005D276C">
        <w:rPr>
          <w:rFonts w:ascii="Times New Roman" w:eastAsia="Times New Roman" w:hAnsi="Times New Roman" w:cs="Times New Roman"/>
          <w:sz w:val="24"/>
          <w:szCs w:val="20"/>
          <w:lang w:val="da-DK" w:eastAsia="nb-NO"/>
        </w:rPr>
        <w:t>Complianc</w:t>
      </w:r>
      <w:r w:rsidR="005D276C" w:rsidRPr="005D276C" w:rsidDel="005D276C">
        <w:rPr>
          <w:rFonts w:ascii="Times New Roman" w:eastAsia="Times New Roman" w:hAnsi="Times New Roman" w:cs="Times New Roman"/>
          <w:sz w:val="24"/>
          <w:szCs w:val="20"/>
          <w:lang w:val="da-DK" w:eastAsia="nb-NO"/>
        </w:rPr>
        <w:t>e</w:t>
      </w:r>
    </w:p>
    <w:sectPr w:rsidR="00142979" w:rsidRPr="005D276C" w:rsidSect="00B674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61A1" w14:textId="77777777" w:rsidR="00044093" w:rsidRDefault="00044093" w:rsidP="00C72126">
      <w:pPr>
        <w:spacing w:after="0" w:line="240" w:lineRule="auto"/>
      </w:pPr>
      <w:r>
        <w:separator/>
      </w:r>
    </w:p>
  </w:endnote>
  <w:endnote w:type="continuationSeparator" w:id="0">
    <w:p w14:paraId="7C3103D5" w14:textId="77777777" w:rsidR="00044093" w:rsidRDefault="00044093" w:rsidP="00C7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92F5" w14:textId="77777777" w:rsidR="00C72126" w:rsidRDefault="00C7212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E71D" w14:textId="77777777" w:rsidR="00C72126" w:rsidRDefault="00C7212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DE9F" w14:textId="77777777" w:rsidR="00C72126" w:rsidRDefault="00C721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181A" w14:textId="77777777" w:rsidR="00044093" w:rsidRDefault="00044093" w:rsidP="00C72126">
      <w:pPr>
        <w:spacing w:after="0" w:line="240" w:lineRule="auto"/>
      </w:pPr>
      <w:r>
        <w:separator/>
      </w:r>
    </w:p>
  </w:footnote>
  <w:footnote w:type="continuationSeparator" w:id="0">
    <w:p w14:paraId="17DA5E81" w14:textId="77777777" w:rsidR="00044093" w:rsidRDefault="00044093" w:rsidP="00C72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5F3B" w14:textId="77777777" w:rsidR="00C72126" w:rsidRDefault="00C7212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6F1B" w14:textId="77777777" w:rsidR="00C72126" w:rsidRDefault="00C7212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5C12" w14:textId="77777777" w:rsidR="00C72126" w:rsidRDefault="00C7212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92B"/>
    <w:multiLevelType w:val="hybridMultilevel"/>
    <w:tmpl w:val="A734F94A"/>
    <w:lvl w:ilvl="0" w:tplc="F912DCB4">
      <w:start w:val="100"/>
      <w:numFmt w:val="bullet"/>
      <w:lvlText w:val="-"/>
      <w:lvlJc w:val="left"/>
      <w:pPr>
        <w:tabs>
          <w:tab w:val="num" w:pos="1137"/>
        </w:tabs>
        <w:ind w:left="1137" w:hanging="570"/>
      </w:pPr>
      <w:rPr>
        <w:rFonts w:ascii="Palatino Linotype" w:eastAsia="Times New Roman" w:hAnsi="Palatino Linotype" w:cs="Times New Roman" w:hint="default"/>
      </w:rPr>
    </w:lvl>
    <w:lvl w:ilvl="1" w:tplc="04140003">
      <w:start w:val="1"/>
      <w:numFmt w:val="bullet"/>
      <w:lvlText w:val="o"/>
      <w:lvlJc w:val="left"/>
      <w:pPr>
        <w:tabs>
          <w:tab w:val="num" w:pos="1935"/>
        </w:tabs>
        <w:ind w:left="1935" w:hanging="360"/>
      </w:pPr>
      <w:rPr>
        <w:rFonts w:ascii="Courier New" w:hAnsi="Courier New" w:cs="Courier New" w:hint="default"/>
      </w:rPr>
    </w:lvl>
    <w:lvl w:ilvl="2" w:tplc="04140005">
      <w:start w:val="1"/>
      <w:numFmt w:val="bullet"/>
      <w:lvlText w:val=""/>
      <w:lvlJc w:val="left"/>
      <w:pPr>
        <w:tabs>
          <w:tab w:val="num" w:pos="2655"/>
        </w:tabs>
        <w:ind w:left="2655" w:hanging="360"/>
      </w:pPr>
      <w:rPr>
        <w:rFonts w:ascii="Wingdings" w:hAnsi="Wingdings" w:hint="default"/>
      </w:rPr>
    </w:lvl>
    <w:lvl w:ilvl="3" w:tplc="04140001">
      <w:start w:val="1"/>
      <w:numFmt w:val="bullet"/>
      <w:lvlText w:val=""/>
      <w:lvlJc w:val="left"/>
      <w:pPr>
        <w:tabs>
          <w:tab w:val="num" w:pos="3375"/>
        </w:tabs>
        <w:ind w:left="3375" w:hanging="360"/>
      </w:pPr>
      <w:rPr>
        <w:rFonts w:ascii="Symbol" w:hAnsi="Symbol" w:hint="default"/>
      </w:rPr>
    </w:lvl>
    <w:lvl w:ilvl="4" w:tplc="04140003">
      <w:start w:val="1"/>
      <w:numFmt w:val="bullet"/>
      <w:lvlText w:val="o"/>
      <w:lvlJc w:val="left"/>
      <w:pPr>
        <w:tabs>
          <w:tab w:val="num" w:pos="4095"/>
        </w:tabs>
        <w:ind w:left="4095" w:hanging="360"/>
      </w:pPr>
      <w:rPr>
        <w:rFonts w:ascii="Courier New" w:hAnsi="Courier New" w:cs="Courier New" w:hint="default"/>
      </w:rPr>
    </w:lvl>
    <w:lvl w:ilvl="5" w:tplc="04140005">
      <w:start w:val="1"/>
      <w:numFmt w:val="bullet"/>
      <w:lvlText w:val=""/>
      <w:lvlJc w:val="left"/>
      <w:pPr>
        <w:tabs>
          <w:tab w:val="num" w:pos="4815"/>
        </w:tabs>
        <w:ind w:left="4815" w:hanging="360"/>
      </w:pPr>
      <w:rPr>
        <w:rFonts w:ascii="Wingdings" w:hAnsi="Wingdings" w:hint="default"/>
      </w:rPr>
    </w:lvl>
    <w:lvl w:ilvl="6" w:tplc="04140001">
      <w:start w:val="1"/>
      <w:numFmt w:val="bullet"/>
      <w:lvlText w:val=""/>
      <w:lvlJc w:val="left"/>
      <w:pPr>
        <w:tabs>
          <w:tab w:val="num" w:pos="5535"/>
        </w:tabs>
        <w:ind w:left="5535" w:hanging="360"/>
      </w:pPr>
      <w:rPr>
        <w:rFonts w:ascii="Symbol" w:hAnsi="Symbol" w:hint="default"/>
      </w:rPr>
    </w:lvl>
    <w:lvl w:ilvl="7" w:tplc="04140003">
      <w:start w:val="1"/>
      <w:numFmt w:val="bullet"/>
      <w:lvlText w:val="o"/>
      <w:lvlJc w:val="left"/>
      <w:pPr>
        <w:tabs>
          <w:tab w:val="num" w:pos="6255"/>
        </w:tabs>
        <w:ind w:left="6255" w:hanging="360"/>
      </w:pPr>
      <w:rPr>
        <w:rFonts w:ascii="Courier New" w:hAnsi="Courier New" w:cs="Courier New" w:hint="default"/>
      </w:rPr>
    </w:lvl>
    <w:lvl w:ilvl="8" w:tplc="04140005">
      <w:start w:val="1"/>
      <w:numFmt w:val="bullet"/>
      <w:lvlText w:val=""/>
      <w:lvlJc w:val="left"/>
      <w:pPr>
        <w:tabs>
          <w:tab w:val="num" w:pos="6975"/>
        </w:tabs>
        <w:ind w:left="6975" w:hanging="360"/>
      </w:pPr>
      <w:rPr>
        <w:rFonts w:ascii="Wingdings" w:hAnsi="Wingdings" w:hint="default"/>
      </w:rPr>
    </w:lvl>
  </w:abstractNum>
  <w:abstractNum w:abstractNumId="1" w15:restartNumberingAfterBreak="0">
    <w:nsid w:val="5AAB276E"/>
    <w:multiLevelType w:val="hybridMultilevel"/>
    <w:tmpl w:val="0BE80EF6"/>
    <w:lvl w:ilvl="0" w:tplc="04140001">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02602875">
    <w:abstractNumId w:val="1"/>
  </w:num>
  <w:num w:numId="2" w16cid:durableId="99333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79"/>
    <w:rsid w:val="000179CB"/>
    <w:rsid w:val="00025598"/>
    <w:rsid w:val="00044093"/>
    <w:rsid w:val="000736D4"/>
    <w:rsid w:val="00105E84"/>
    <w:rsid w:val="00142979"/>
    <w:rsid w:val="001520C5"/>
    <w:rsid w:val="001556AD"/>
    <w:rsid w:val="00157D93"/>
    <w:rsid w:val="00183101"/>
    <w:rsid w:val="0018482E"/>
    <w:rsid w:val="001961B3"/>
    <w:rsid w:val="00265970"/>
    <w:rsid w:val="002E1D77"/>
    <w:rsid w:val="002F5798"/>
    <w:rsid w:val="003E6EBF"/>
    <w:rsid w:val="004005E4"/>
    <w:rsid w:val="00414EEF"/>
    <w:rsid w:val="00465C6F"/>
    <w:rsid w:val="004A27E3"/>
    <w:rsid w:val="004A6236"/>
    <w:rsid w:val="004F41D3"/>
    <w:rsid w:val="00572C5F"/>
    <w:rsid w:val="005D276C"/>
    <w:rsid w:val="005D68C5"/>
    <w:rsid w:val="005E5F50"/>
    <w:rsid w:val="005E793C"/>
    <w:rsid w:val="00641B1B"/>
    <w:rsid w:val="00671A0B"/>
    <w:rsid w:val="006760FB"/>
    <w:rsid w:val="00676D66"/>
    <w:rsid w:val="00692548"/>
    <w:rsid w:val="006B01B8"/>
    <w:rsid w:val="00706377"/>
    <w:rsid w:val="00707720"/>
    <w:rsid w:val="00722CA8"/>
    <w:rsid w:val="007614B1"/>
    <w:rsid w:val="0081570A"/>
    <w:rsid w:val="00865DB8"/>
    <w:rsid w:val="0090039C"/>
    <w:rsid w:val="00902C37"/>
    <w:rsid w:val="00910802"/>
    <w:rsid w:val="009239A1"/>
    <w:rsid w:val="00977E82"/>
    <w:rsid w:val="009C1771"/>
    <w:rsid w:val="00A10B58"/>
    <w:rsid w:val="00A56554"/>
    <w:rsid w:val="00AB2F96"/>
    <w:rsid w:val="00AB72FE"/>
    <w:rsid w:val="00AD328F"/>
    <w:rsid w:val="00B43044"/>
    <w:rsid w:val="00B52F88"/>
    <w:rsid w:val="00B6748F"/>
    <w:rsid w:val="00B87F51"/>
    <w:rsid w:val="00BE38AD"/>
    <w:rsid w:val="00C21A21"/>
    <w:rsid w:val="00C5784F"/>
    <w:rsid w:val="00C72126"/>
    <w:rsid w:val="00CB05C4"/>
    <w:rsid w:val="00CD2107"/>
    <w:rsid w:val="00CE62F8"/>
    <w:rsid w:val="00CF3870"/>
    <w:rsid w:val="00D65B3B"/>
    <w:rsid w:val="00D84117"/>
    <w:rsid w:val="00E50603"/>
    <w:rsid w:val="00E94764"/>
    <w:rsid w:val="00F05FD0"/>
    <w:rsid w:val="00FA1E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2CC6E"/>
  <w15:docId w15:val="{F4E7DD00-1C9A-4E87-9922-D8EEB233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semiHidden/>
    <w:unhideWhenUsed/>
    <w:qFormat/>
    <w:rsid w:val="001429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1">
    <w:name w:val="Stil1"/>
    <w:basedOn w:val="Overskrift3"/>
    <w:rsid w:val="00142979"/>
    <w:pPr>
      <w:keepLines w:val="0"/>
      <w:tabs>
        <w:tab w:val="left" w:pos="851"/>
      </w:tabs>
      <w:spacing w:before="240" w:after="60" w:line="240" w:lineRule="auto"/>
    </w:pPr>
    <w:rPr>
      <w:rFonts w:ascii="Times New Roman" w:eastAsia="Times New Roman" w:hAnsi="Times New Roman" w:cs="Times New Roman"/>
      <w:b w:val="0"/>
      <w:bCs w:val="0"/>
      <w:color w:val="auto"/>
      <w:sz w:val="24"/>
      <w:szCs w:val="20"/>
      <w:u w:val="single"/>
      <w:lang w:val="nb-NO" w:eastAsia="nb-NO"/>
    </w:rPr>
  </w:style>
  <w:style w:type="character" w:customStyle="1" w:styleId="Overskrift3Tegn">
    <w:name w:val="Overskrift 3 Tegn"/>
    <w:basedOn w:val="Standardskriftforavsnitt"/>
    <w:link w:val="Overskrift3"/>
    <w:uiPriority w:val="9"/>
    <w:semiHidden/>
    <w:rsid w:val="00142979"/>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C7212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2126"/>
  </w:style>
  <w:style w:type="paragraph" w:styleId="Bunntekst">
    <w:name w:val="footer"/>
    <w:basedOn w:val="Normal"/>
    <w:link w:val="BunntekstTegn"/>
    <w:uiPriority w:val="99"/>
    <w:unhideWhenUsed/>
    <w:rsid w:val="00C7212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2126"/>
  </w:style>
  <w:style w:type="paragraph" w:styleId="Bobletekst">
    <w:name w:val="Balloon Text"/>
    <w:basedOn w:val="Normal"/>
    <w:link w:val="BobletekstTegn"/>
    <w:uiPriority w:val="99"/>
    <w:semiHidden/>
    <w:unhideWhenUsed/>
    <w:rsid w:val="00B674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67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3432</Characters>
  <Application>Microsoft Office Word</Application>
  <DocSecurity>0</DocSecurity>
  <Lines>28</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Aker ASA</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Petter Sogn</dc:creator>
  <cp:lastModifiedBy>Tor Erik Mørk</cp:lastModifiedBy>
  <cp:revision>2</cp:revision>
  <cp:lastPrinted>2017-03-15T13:41:00Z</cp:lastPrinted>
  <dcterms:created xsi:type="dcterms:W3CDTF">2024-04-15T10:52:00Z</dcterms:created>
  <dcterms:modified xsi:type="dcterms:W3CDTF">2024-04-15T10:52:00Z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